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C2167">
      <w:pPr>
        <w:snapToGrid w:val="0"/>
        <w:spacing w:line="360" w:lineRule="auto"/>
        <w:rPr>
          <w:rFonts w:ascii="宋体" w:hAnsi="宋体" w:eastAsia="宋体" w:cs="宋体"/>
          <w:b/>
          <w:bCs/>
          <w:sz w:val="24"/>
          <w:szCs w:val="28"/>
        </w:rPr>
      </w:pPr>
    </w:p>
    <w:p w14:paraId="4655BEE2">
      <w:pPr>
        <w:snapToGrid w:val="0"/>
        <w:spacing w:line="360" w:lineRule="auto"/>
        <w:rPr>
          <w:rFonts w:ascii="宋体" w:hAnsi="宋体" w:eastAsia="宋体" w:cs="宋体"/>
          <w:b/>
          <w:bCs/>
          <w:sz w:val="24"/>
          <w:szCs w:val="28"/>
        </w:rPr>
      </w:pPr>
    </w:p>
    <w:p w14:paraId="24831BD0">
      <w:pPr>
        <w:snapToGrid w:val="0"/>
        <w:spacing w:line="360" w:lineRule="auto"/>
        <w:rPr>
          <w:rFonts w:ascii="宋体" w:hAnsi="宋体" w:eastAsia="宋体" w:cs="宋体"/>
          <w:b/>
          <w:bCs/>
          <w:sz w:val="24"/>
          <w:szCs w:val="28"/>
        </w:rPr>
      </w:pPr>
    </w:p>
    <w:p w14:paraId="2F7F2A4B">
      <w:pPr>
        <w:snapToGrid w:val="0"/>
        <w:spacing w:line="360" w:lineRule="auto"/>
        <w:jc w:val="center"/>
        <w:outlineLvl w:val="0"/>
        <w:rPr>
          <w:rFonts w:ascii="宋体" w:hAnsi="宋体" w:eastAsia="宋体" w:cs="宋体"/>
          <w:b/>
          <w:bCs/>
          <w:sz w:val="48"/>
          <w:szCs w:val="52"/>
        </w:rPr>
      </w:pPr>
      <w:r>
        <w:rPr>
          <w:rFonts w:hint="eastAsia" w:ascii="宋体" w:hAnsi="宋体" w:eastAsia="宋体" w:cs="宋体"/>
          <w:b/>
          <w:bCs/>
          <w:sz w:val="48"/>
          <w:szCs w:val="52"/>
        </w:rPr>
        <w:t>眉山琏升光伏科技有限公司</w:t>
      </w:r>
    </w:p>
    <w:p w14:paraId="7BB283C2">
      <w:pPr>
        <w:snapToGrid w:val="0"/>
        <w:spacing w:line="360" w:lineRule="auto"/>
        <w:jc w:val="center"/>
        <w:outlineLvl w:val="0"/>
        <w:rPr>
          <w:rFonts w:ascii="宋体" w:hAnsi="宋体" w:eastAsia="宋体" w:cs="宋体"/>
          <w:b/>
          <w:bCs/>
          <w:sz w:val="48"/>
          <w:szCs w:val="52"/>
        </w:rPr>
      </w:pPr>
      <w:r>
        <w:rPr>
          <w:rFonts w:hint="eastAsia" w:ascii="宋体" w:hAnsi="宋体" w:eastAsia="宋体" w:cs="宋体"/>
          <w:b/>
          <w:bCs/>
          <w:sz w:val="48"/>
          <w:szCs w:val="52"/>
          <w:lang w:val="en-US" w:eastAsia="zh-CN"/>
        </w:rPr>
        <w:t>2026年国际物流</w:t>
      </w:r>
      <w:r>
        <w:rPr>
          <w:rFonts w:hint="eastAsia" w:ascii="宋体" w:hAnsi="宋体" w:eastAsia="宋体" w:cs="宋体"/>
          <w:b/>
          <w:bCs/>
          <w:sz w:val="48"/>
          <w:szCs w:val="52"/>
        </w:rPr>
        <w:t>项目</w:t>
      </w:r>
    </w:p>
    <w:p w14:paraId="2039220D">
      <w:pPr>
        <w:snapToGrid w:val="0"/>
        <w:spacing w:line="360" w:lineRule="auto"/>
        <w:jc w:val="center"/>
        <w:rPr>
          <w:rFonts w:ascii="宋体" w:hAnsi="宋体" w:eastAsia="宋体" w:cs="宋体"/>
        </w:rPr>
      </w:pPr>
    </w:p>
    <w:p w14:paraId="75E74F8C">
      <w:pPr>
        <w:snapToGrid w:val="0"/>
        <w:spacing w:line="360" w:lineRule="auto"/>
        <w:jc w:val="center"/>
        <w:rPr>
          <w:rFonts w:ascii="宋体" w:hAnsi="宋体" w:eastAsia="宋体" w:cs="宋体"/>
        </w:rPr>
      </w:pPr>
    </w:p>
    <w:p w14:paraId="4846FF57">
      <w:pPr>
        <w:snapToGrid w:val="0"/>
        <w:spacing w:line="360" w:lineRule="auto"/>
        <w:jc w:val="center"/>
        <w:rPr>
          <w:rFonts w:ascii="宋体" w:hAnsi="宋体" w:eastAsia="宋体" w:cs="宋体"/>
        </w:rPr>
      </w:pPr>
    </w:p>
    <w:p w14:paraId="1F50C5DB">
      <w:pPr>
        <w:snapToGrid w:val="0"/>
        <w:spacing w:line="360" w:lineRule="auto"/>
        <w:jc w:val="center"/>
        <w:rPr>
          <w:rFonts w:ascii="宋体" w:hAnsi="宋体" w:eastAsia="宋体" w:cs="宋体"/>
        </w:rPr>
      </w:pPr>
    </w:p>
    <w:p w14:paraId="5D9E2A04">
      <w:pPr>
        <w:snapToGrid w:val="0"/>
        <w:spacing w:line="360" w:lineRule="auto"/>
        <w:jc w:val="center"/>
        <w:rPr>
          <w:rFonts w:ascii="宋体" w:hAnsi="宋体" w:eastAsia="宋体" w:cs="宋体"/>
        </w:rPr>
      </w:pPr>
    </w:p>
    <w:p w14:paraId="724DCE47">
      <w:pPr>
        <w:snapToGrid w:val="0"/>
        <w:spacing w:line="360" w:lineRule="auto"/>
        <w:jc w:val="center"/>
        <w:rPr>
          <w:rFonts w:ascii="宋体" w:hAnsi="宋体" w:eastAsia="宋体" w:cs="宋体"/>
        </w:rPr>
      </w:pPr>
    </w:p>
    <w:p w14:paraId="4E481E18">
      <w:pPr>
        <w:snapToGrid w:val="0"/>
        <w:spacing w:line="360" w:lineRule="auto"/>
        <w:jc w:val="center"/>
        <w:rPr>
          <w:rFonts w:ascii="宋体" w:hAnsi="宋体" w:eastAsia="宋体" w:cs="宋体"/>
        </w:rPr>
      </w:pPr>
    </w:p>
    <w:p w14:paraId="1D9020B3">
      <w:pPr>
        <w:snapToGrid w:val="0"/>
        <w:spacing w:line="360" w:lineRule="auto"/>
        <w:jc w:val="center"/>
        <w:rPr>
          <w:rFonts w:ascii="宋体" w:hAnsi="宋体" w:eastAsia="宋体" w:cs="宋体"/>
        </w:rPr>
      </w:pPr>
    </w:p>
    <w:p w14:paraId="2AB204F7">
      <w:pPr>
        <w:snapToGrid w:val="0"/>
        <w:spacing w:line="360" w:lineRule="auto"/>
        <w:jc w:val="center"/>
        <w:rPr>
          <w:rFonts w:ascii="宋体" w:hAnsi="宋体" w:eastAsia="宋体" w:cs="宋体"/>
        </w:rPr>
      </w:pPr>
    </w:p>
    <w:p w14:paraId="70B1BA43">
      <w:pPr>
        <w:snapToGrid w:val="0"/>
        <w:spacing w:line="360" w:lineRule="auto"/>
        <w:rPr>
          <w:rFonts w:ascii="宋体" w:hAnsi="宋体" w:eastAsia="宋体" w:cs="宋体"/>
        </w:rPr>
      </w:pPr>
    </w:p>
    <w:p w14:paraId="1F8A9925">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14:paraId="2C5EBF1C">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文件编号：LSZBCW-20250007</w:t>
      </w:r>
    </w:p>
    <w:p w14:paraId="656DD3DC">
      <w:pPr>
        <w:spacing w:line="360" w:lineRule="auto"/>
        <w:jc w:val="center"/>
        <w:rPr>
          <w:rFonts w:ascii="宋体" w:hAnsi="宋体" w:eastAsia="宋体" w:cs="宋体"/>
          <w:b/>
          <w:sz w:val="52"/>
          <w:szCs w:val="52"/>
        </w:rPr>
      </w:pPr>
    </w:p>
    <w:p w14:paraId="5B885265">
      <w:pPr>
        <w:spacing w:line="360" w:lineRule="auto"/>
        <w:jc w:val="center"/>
        <w:rPr>
          <w:rFonts w:ascii="宋体" w:hAnsi="宋体" w:eastAsia="宋体" w:cs="宋体"/>
          <w:b/>
          <w:sz w:val="52"/>
          <w:szCs w:val="52"/>
        </w:rPr>
      </w:pPr>
    </w:p>
    <w:p w14:paraId="5870CE27">
      <w:pPr>
        <w:spacing w:line="360" w:lineRule="auto"/>
        <w:rPr>
          <w:rFonts w:ascii="宋体" w:hAnsi="宋体" w:eastAsia="宋体" w:cs="宋体"/>
          <w:b/>
          <w:sz w:val="52"/>
          <w:szCs w:val="52"/>
        </w:rPr>
      </w:pPr>
    </w:p>
    <w:p w14:paraId="13775399">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眉山琏升光伏科技有限公司</w:t>
      </w:r>
    </w:p>
    <w:p w14:paraId="51D092BC">
      <w:pPr>
        <w:spacing w:line="360" w:lineRule="auto"/>
        <w:jc w:val="center"/>
        <w:outlineLvl w:val="0"/>
        <w:rPr>
          <w:rFonts w:ascii="宋体" w:hAnsi="宋体" w:eastAsia="宋体" w:cs="宋体"/>
          <w:b/>
          <w:sz w:val="52"/>
          <w:szCs w:val="52"/>
        </w:rPr>
      </w:pPr>
      <w:r>
        <w:rPr>
          <w:rFonts w:ascii="宋体" w:hAnsi="宋体" w:eastAsia="宋体" w:cs="宋体"/>
          <w:b/>
          <w:sz w:val="52"/>
          <w:szCs w:val="52"/>
        </w:rPr>
        <w:t>202</w:t>
      </w:r>
      <w:r>
        <w:rPr>
          <w:rFonts w:hint="eastAsia" w:ascii="宋体" w:hAnsi="宋体" w:eastAsia="宋体" w:cs="宋体"/>
          <w:b/>
          <w:sz w:val="52"/>
          <w:szCs w:val="52"/>
          <w:lang w:val="en-US" w:eastAsia="zh-CN"/>
        </w:rPr>
        <w:t>5</w:t>
      </w:r>
      <w:r>
        <w:rPr>
          <w:rFonts w:hint="eastAsia" w:ascii="宋体" w:hAnsi="宋体" w:eastAsia="宋体" w:cs="宋体"/>
          <w:b/>
          <w:sz w:val="52"/>
          <w:szCs w:val="52"/>
        </w:rPr>
        <w:t>年</w:t>
      </w:r>
      <w:r>
        <w:rPr>
          <w:rFonts w:hint="eastAsia" w:ascii="宋体" w:hAnsi="宋体" w:eastAsia="宋体" w:cs="宋体"/>
          <w:b/>
          <w:sz w:val="52"/>
          <w:szCs w:val="52"/>
          <w:lang w:val="en-US" w:eastAsia="zh-CN"/>
        </w:rPr>
        <w:t>12</w:t>
      </w:r>
      <w:r>
        <w:rPr>
          <w:rFonts w:ascii="宋体" w:hAnsi="宋体" w:eastAsia="宋体" w:cs="宋体"/>
          <w:b/>
          <w:sz w:val="52"/>
          <w:szCs w:val="52"/>
        </w:rPr>
        <w:t>月</w:t>
      </w:r>
    </w:p>
    <w:p w14:paraId="1A4393C4">
      <w:pPr>
        <w:spacing w:line="360" w:lineRule="auto"/>
        <w:rPr>
          <w:rFonts w:ascii="宋体" w:hAnsi="宋体" w:eastAsia="宋体"/>
        </w:rPr>
      </w:pPr>
    </w:p>
    <w:p w14:paraId="689E228B">
      <w:pPr>
        <w:tabs>
          <w:tab w:val="left" w:pos="6000"/>
        </w:tabs>
        <w:spacing w:line="360" w:lineRule="auto"/>
        <w:outlineLvl w:val="0"/>
        <w:rPr>
          <w:rFonts w:ascii="宋体" w:hAnsi="宋体" w:eastAsia="宋体"/>
        </w:rPr>
      </w:pPr>
      <w:r>
        <w:rPr>
          <w:rFonts w:ascii="宋体" w:hAnsi="宋体" w:eastAsia="宋体"/>
        </w:rPr>
        <w:tab/>
      </w:r>
    </w:p>
    <w:p w14:paraId="321AB5BD">
      <w:pPr>
        <w:pStyle w:val="89"/>
        <w:tabs>
          <w:tab w:val="center" w:pos="4890"/>
          <w:tab w:val="left" w:pos="6410"/>
        </w:tabs>
        <w:rPr>
          <w:rFonts w:ascii="宋体" w:hAnsi="宋体" w:eastAsia="宋体"/>
          <w:sz w:val="44"/>
          <w:szCs w:val="44"/>
        </w:rPr>
      </w:pPr>
      <w:r>
        <w:rPr>
          <w:rFonts w:ascii="宋体" w:hAnsi="宋体" w:eastAsia="宋体"/>
          <w:sz w:val="44"/>
          <w:szCs w:val="44"/>
          <w:lang w:val="zh-CN"/>
        </w:rPr>
        <w:tab/>
      </w:r>
      <w:r>
        <w:rPr>
          <w:rFonts w:ascii="宋体" w:hAnsi="宋体" w:eastAsia="宋体"/>
          <w:sz w:val="44"/>
          <w:szCs w:val="44"/>
          <w:lang w:val="zh-CN"/>
        </w:rPr>
        <w:t>目录</w:t>
      </w:r>
      <w:r>
        <w:rPr>
          <w:rFonts w:ascii="宋体" w:hAnsi="宋体" w:eastAsia="宋体"/>
          <w:sz w:val="44"/>
          <w:szCs w:val="44"/>
          <w:lang w:val="zh-CN"/>
        </w:rPr>
        <w:tab/>
      </w:r>
    </w:p>
    <w:p w14:paraId="06B7A93C">
      <w:pPr>
        <w:rPr>
          <w:rFonts w:ascii="宋体" w:hAnsi="宋体" w:eastAsia="宋体" w:cs="宋体"/>
          <w:lang w:val="zh-CN"/>
        </w:rPr>
      </w:pPr>
    </w:p>
    <w:p w14:paraId="401F06D0">
      <w:pPr>
        <w:pStyle w:val="25"/>
        <w:tabs>
          <w:tab w:val="left" w:pos="840"/>
          <w:tab w:val="right" w:leader="dot" w:pos="9771"/>
        </w:tabs>
        <w:jc w:val="both"/>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42"/>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42"/>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color w:val="BFBFBF" w:themeColor="background1" w:themeShade="BF"/>
          <w:sz w:val="28"/>
          <w:szCs w:val="28"/>
        </w:rPr>
        <w:fldChar w:fldCharType="end"/>
      </w:r>
      <w:r>
        <w:rPr>
          <w:rFonts w:ascii="宋体" w:hAnsi="宋体" w:eastAsia="宋体" w:cs="宋体"/>
          <w:sz w:val="28"/>
          <w:szCs w:val="28"/>
        </w:rPr>
        <w:t>1</w:t>
      </w:r>
    </w:p>
    <w:p w14:paraId="71FC3E27">
      <w:pPr>
        <w:pStyle w:val="25"/>
        <w:tabs>
          <w:tab w:val="left" w:pos="840"/>
          <w:tab w:val="right" w:leader="dot" w:pos="9771"/>
        </w:tabs>
        <w:rPr>
          <w:rFonts w:ascii="宋体" w:hAnsi="宋体" w:eastAsia="宋体" w:cs="宋体"/>
          <w:b w:val="0"/>
          <w:bCs w:val="0"/>
          <w:caps w:val="0"/>
          <w:sz w:val="28"/>
          <w:szCs w:val="28"/>
        </w:rPr>
      </w:pPr>
      <w:r>
        <w:rPr>
          <w:rFonts w:hint="eastAsia"/>
        </w:rPr>
        <w:fldChar w:fldCharType="begin"/>
      </w:r>
      <w:r>
        <w:instrText xml:space="preserve"> HYPERLINK \l "_Toc115424826" </w:instrText>
      </w:r>
      <w:r>
        <w:rPr>
          <w:rFonts w:hint="eastAsia"/>
        </w:rPr>
        <w:fldChar w:fldCharType="separate"/>
      </w:r>
      <w:r>
        <w:rPr>
          <w:rStyle w:val="42"/>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42"/>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color w:val="BFBFBF" w:themeColor="background1" w:themeShade="BF"/>
          <w:sz w:val="28"/>
          <w:szCs w:val="28"/>
        </w:rPr>
        <w:fldChar w:fldCharType="end"/>
      </w:r>
      <w:r>
        <w:rPr>
          <w:rFonts w:ascii="宋体" w:hAnsi="宋体" w:eastAsia="宋体" w:cs="宋体"/>
          <w:sz w:val="28"/>
          <w:szCs w:val="28"/>
        </w:rPr>
        <w:t>2</w:t>
      </w:r>
    </w:p>
    <w:p w14:paraId="5525A4CA">
      <w:pPr>
        <w:pStyle w:val="25"/>
        <w:tabs>
          <w:tab w:val="left" w:pos="840"/>
          <w:tab w:val="right" w:leader="dot" w:pos="9771"/>
        </w:tabs>
        <w:rPr>
          <w:rFonts w:ascii="宋体" w:hAnsi="宋体" w:eastAsia="宋体" w:cs="宋体"/>
          <w:b w:val="0"/>
          <w:bCs w:val="0"/>
          <w:caps w:val="0"/>
          <w:sz w:val="28"/>
          <w:szCs w:val="28"/>
        </w:rPr>
      </w:pPr>
      <w:r>
        <w:rPr>
          <w:rFonts w:hint="eastAsia"/>
        </w:rPr>
        <w:fldChar w:fldCharType="begin"/>
      </w:r>
      <w:r>
        <w:instrText xml:space="preserve"> HYPERLINK \l "_Toc115424827" </w:instrText>
      </w:r>
      <w:r>
        <w:rPr>
          <w:rFonts w:hint="eastAsia"/>
        </w:rPr>
        <w:fldChar w:fldCharType="separate"/>
      </w:r>
      <w:r>
        <w:rPr>
          <w:rStyle w:val="42"/>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42"/>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color w:val="BFBFBF" w:themeColor="background1" w:themeShade="BF"/>
          <w:sz w:val="28"/>
          <w:szCs w:val="28"/>
        </w:rPr>
        <w:fldChar w:fldCharType="end"/>
      </w:r>
      <w:r>
        <w:rPr>
          <w:rFonts w:ascii="宋体" w:hAnsi="宋体" w:eastAsia="宋体" w:cs="宋体"/>
          <w:sz w:val="28"/>
          <w:szCs w:val="28"/>
        </w:rPr>
        <w:t>7</w:t>
      </w:r>
    </w:p>
    <w:p w14:paraId="6BE901F3">
      <w:pPr>
        <w:pStyle w:val="25"/>
        <w:tabs>
          <w:tab w:val="left" w:pos="840"/>
          <w:tab w:val="right" w:leader="dot" w:pos="9771"/>
        </w:tabs>
        <w:rPr>
          <w:rFonts w:ascii="宋体" w:hAnsi="宋体" w:eastAsia="宋体" w:cs="宋体"/>
          <w:b w:val="0"/>
          <w:bCs w:val="0"/>
          <w:caps w:val="0"/>
          <w:sz w:val="28"/>
          <w:szCs w:val="28"/>
        </w:rPr>
      </w:pPr>
      <w:r>
        <w:rPr>
          <w:rFonts w:hint="eastAsia"/>
        </w:rPr>
        <w:fldChar w:fldCharType="begin"/>
      </w:r>
      <w:r>
        <w:instrText xml:space="preserve"> HYPERLINK \l "_Toc115424828" </w:instrText>
      </w:r>
      <w:r>
        <w:rPr>
          <w:rFonts w:hint="eastAsia"/>
        </w:rPr>
        <w:fldChar w:fldCharType="separate"/>
      </w:r>
      <w:r>
        <w:rPr>
          <w:rStyle w:val="42"/>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42"/>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color w:val="BFBFBF" w:themeColor="background1" w:themeShade="BF"/>
          <w:sz w:val="28"/>
          <w:szCs w:val="28"/>
        </w:rPr>
        <w:fldChar w:fldCharType="end"/>
      </w:r>
      <w:r>
        <w:rPr>
          <w:rFonts w:ascii="宋体" w:hAnsi="宋体" w:eastAsia="宋体" w:cs="宋体"/>
          <w:sz w:val="28"/>
          <w:szCs w:val="28"/>
        </w:rPr>
        <w:t>9</w:t>
      </w:r>
    </w:p>
    <w:p w14:paraId="7E3810F5">
      <w:pPr>
        <w:pStyle w:val="25"/>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"_Toc115424829" </w:instrText>
      </w:r>
      <w:r>
        <w:fldChar w:fldCharType="separate"/>
      </w:r>
      <w:r>
        <w:rPr>
          <w:rStyle w:val="42"/>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42"/>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ascii="宋体" w:hAnsi="宋体" w:eastAsia="宋体" w:cs="宋体"/>
          <w:sz w:val="28"/>
          <w:szCs w:val="28"/>
        </w:rPr>
        <w:t>9</w:t>
      </w:r>
      <w:r>
        <w:rPr>
          <w:rFonts w:ascii="宋体" w:hAnsi="宋体" w:eastAsia="宋体" w:cs="宋体"/>
          <w:sz w:val="28"/>
          <w:szCs w:val="28"/>
        </w:rPr>
        <w:fldChar w:fldCharType="end"/>
      </w:r>
    </w:p>
    <w:p w14:paraId="2814283B">
      <w:pPr>
        <w:pStyle w:val="29"/>
        <w:spacing w:line="480" w:lineRule="auto"/>
        <w:ind w:left="0"/>
        <w:rPr>
          <w:rStyle w:val="42"/>
          <w:rFonts w:ascii="宋体" w:hAnsi="宋体" w:eastAsia="宋体" w:cs="宋体"/>
          <w:caps/>
          <w:smallCaps w:val="0"/>
          <w:sz w:val="28"/>
          <w:szCs w:val="28"/>
        </w:rPr>
      </w:pPr>
      <w:r>
        <w:fldChar w:fldCharType="begin"/>
      </w:r>
      <w:r>
        <w:instrText xml:space="preserve"> HYPERLINK \l "_Toc115424830" </w:instrText>
      </w:r>
      <w:r>
        <w:fldChar w:fldCharType="separate"/>
      </w:r>
      <w:r>
        <w:rPr>
          <w:rStyle w:val="42"/>
          <w:rFonts w:hint="eastAsia" w:ascii="宋体" w:hAnsi="宋体" w:eastAsia="宋体" w:cs="宋体"/>
          <w:caps/>
          <w:smallCaps w:val="0"/>
          <w:sz w:val="28"/>
          <w:szCs w:val="28"/>
        </w:rPr>
        <w:t>竞标书</w:t>
      </w:r>
      <w:r>
        <w:rPr>
          <w:rStyle w:val="42"/>
          <w:rFonts w:hint="eastAsia" w:ascii="宋体" w:hAnsi="宋体" w:eastAsia="宋体" w:cs="宋体"/>
          <w:caps/>
          <w:smallCaps w:val="0"/>
          <w:sz w:val="28"/>
          <w:szCs w:val="28"/>
        </w:rPr>
        <w:tab/>
      </w:r>
      <w:r>
        <w:rPr>
          <w:rStyle w:val="42"/>
          <w:rFonts w:ascii="宋体" w:hAnsi="宋体" w:eastAsia="宋体" w:cs="宋体"/>
          <w:caps/>
          <w:smallCaps w:val="0"/>
          <w:sz w:val="28"/>
          <w:szCs w:val="28"/>
        </w:rPr>
        <w:t>10</w:t>
      </w:r>
      <w:r>
        <w:rPr>
          <w:rStyle w:val="42"/>
          <w:rFonts w:ascii="宋体" w:hAnsi="宋体" w:eastAsia="宋体" w:cs="宋体"/>
          <w:caps/>
          <w:smallCaps w:val="0"/>
          <w:sz w:val="28"/>
          <w:szCs w:val="28"/>
        </w:rPr>
        <w:fldChar w:fldCharType="end"/>
      </w:r>
    </w:p>
    <w:p w14:paraId="7E856836">
      <w:pPr>
        <w:pStyle w:val="29"/>
        <w:spacing w:line="480" w:lineRule="auto"/>
        <w:ind w:left="0"/>
        <w:rPr>
          <w:rStyle w:val="42"/>
          <w:rFonts w:ascii="宋体" w:hAnsi="宋体" w:eastAsia="宋体" w:cs="宋体"/>
          <w:caps/>
          <w:smallCaps w:val="0"/>
          <w:sz w:val="28"/>
          <w:szCs w:val="28"/>
        </w:rPr>
      </w:pPr>
      <w:r>
        <w:rPr>
          <w:rStyle w:val="42"/>
          <w:rFonts w:hint="eastAsia" w:ascii="宋体" w:hAnsi="宋体" w:eastAsia="宋体" w:cs="宋体"/>
          <w:caps/>
          <w:smallCaps w:val="0"/>
          <w:sz w:val="28"/>
          <w:szCs w:val="28"/>
        </w:rPr>
        <w:t>竞标人声明</w:t>
      </w:r>
      <w:r>
        <w:rPr>
          <w:rStyle w:val="42"/>
          <w:rFonts w:hint="eastAsia" w:ascii="宋体" w:hAnsi="宋体" w:eastAsia="宋体" w:cs="宋体"/>
          <w:caps/>
          <w:smallCaps w:val="0"/>
          <w:sz w:val="28"/>
          <w:szCs w:val="28"/>
        </w:rPr>
        <w:tab/>
      </w:r>
      <w:r>
        <w:rPr>
          <w:rStyle w:val="42"/>
          <w:rFonts w:ascii="宋体" w:hAnsi="宋体" w:eastAsia="宋体" w:cs="宋体"/>
          <w:caps/>
          <w:smallCaps w:val="0"/>
          <w:sz w:val="28"/>
          <w:szCs w:val="28"/>
        </w:rPr>
        <w:t>11</w:t>
      </w:r>
    </w:p>
    <w:p w14:paraId="4DCC240F">
      <w:pPr>
        <w:pStyle w:val="29"/>
        <w:spacing w:line="480" w:lineRule="auto"/>
        <w:ind w:left="0"/>
        <w:rPr>
          <w:rStyle w:val="42"/>
          <w:rFonts w:ascii="宋体" w:hAnsi="宋体" w:eastAsia="宋体" w:cs="宋体"/>
          <w:caps/>
          <w:smallCaps w:val="0"/>
          <w:sz w:val="28"/>
          <w:szCs w:val="28"/>
        </w:rPr>
      </w:pPr>
      <w:r>
        <w:fldChar w:fldCharType="begin"/>
      </w:r>
      <w:r>
        <w:instrText xml:space="preserve"> HYPERLINK \l "_Toc115424832" </w:instrText>
      </w:r>
      <w:r>
        <w:fldChar w:fldCharType="separate"/>
      </w:r>
      <w:r>
        <w:rPr>
          <w:rStyle w:val="42"/>
          <w:rFonts w:hint="eastAsia" w:ascii="宋体" w:hAnsi="宋体" w:eastAsia="宋体" w:cs="宋体"/>
          <w:caps/>
          <w:smallCaps w:val="0"/>
          <w:sz w:val="28"/>
          <w:szCs w:val="28"/>
        </w:rPr>
        <w:t>法定代表人授权委托书</w:t>
      </w:r>
      <w:r>
        <w:rPr>
          <w:rStyle w:val="42"/>
          <w:rFonts w:hint="eastAsia" w:ascii="宋体" w:hAnsi="宋体" w:eastAsia="宋体" w:cs="宋体"/>
          <w:caps/>
          <w:smallCaps w:val="0"/>
          <w:sz w:val="28"/>
          <w:szCs w:val="28"/>
        </w:rPr>
        <w:tab/>
      </w:r>
      <w:r>
        <w:rPr>
          <w:rStyle w:val="42"/>
          <w:rFonts w:ascii="宋体" w:hAnsi="宋体" w:eastAsia="宋体" w:cs="宋体"/>
          <w:caps/>
          <w:smallCaps w:val="0"/>
          <w:sz w:val="28"/>
          <w:szCs w:val="28"/>
        </w:rPr>
        <w:t>12</w:t>
      </w:r>
      <w:r>
        <w:rPr>
          <w:rStyle w:val="42"/>
          <w:rFonts w:ascii="宋体" w:hAnsi="宋体" w:eastAsia="宋体" w:cs="宋体"/>
          <w:caps/>
          <w:smallCaps w:val="0"/>
          <w:sz w:val="28"/>
          <w:szCs w:val="28"/>
        </w:rPr>
        <w:fldChar w:fldCharType="end"/>
      </w:r>
    </w:p>
    <w:p w14:paraId="74DF3FDD">
      <w:pPr>
        <w:pStyle w:val="29"/>
        <w:spacing w:line="480" w:lineRule="auto"/>
        <w:ind w:left="0"/>
        <w:rPr>
          <w:rStyle w:val="42"/>
          <w:rFonts w:ascii="宋体" w:hAnsi="宋体" w:eastAsia="宋体" w:cs="宋体"/>
          <w:caps/>
          <w:smallCaps w:val="0"/>
          <w:sz w:val="28"/>
          <w:szCs w:val="28"/>
        </w:rPr>
      </w:pPr>
      <w:r>
        <w:fldChar w:fldCharType="begin"/>
      </w:r>
      <w:r>
        <w:instrText xml:space="preserve"> HYPERLINK \l "_Toc115424833" </w:instrText>
      </w:r>
      <w:r>
        <w:fldChar w:fldCharType="separate"/>
      </w:r>
      <w:r>
        <w:rPr>
          <w:rStyle w:val="42"/>
          <w:rFonts w:hint="eastAsia" w:ascii="宋体" w:hAnsi="宋体" w:eastAsia="宋体" w:cs="宋体"/>
          <w:caps/>
          <w:smallCaps w:val="0"/>
          <w:sz w:val="28"/>
          <w:szCs w:val="28"/>
        </w:rPr>
        <w:t>竞标人承诺函</w:t>
      </w:r>
      <w:r>
        <w:rPr>
          <w:rStyle w:val="42"/>
          <w:rFonts w:hint="eastAsia" w:ascii="宋体" w:hAnsi="宋体" w:eastAsia="宋体" w:cs="宋体"/>
          <w:caps/>
          <w:smallCaps w:val="0"/>
          <w:sz w:val="28"/>
          <w:szCs w:val="28"/>
        </w:rPr>
        <w:tab/>
      </w:r>
      <w:r>
        <w:rPr>
          <w:rStyle w:val="42"/>
          <w:rFonts w:ascii="宋体" w:hAnsi="宋体" w:eastAsia="宋体" w:cs="宋体"/>
          <w:caps/>
          <w:smallCaps w:val="0"/>
          <w:sz w:val="28"/>
          <w:szCs w:val="28"/>
        </w:rPr>
        <w:t>13</w:t>
      </w:r>
      <w:r>
        <w:rPr>
          <w:rStyle w:val="42"/>
          <w:rFonts w:ascii="宋体" w:hAnsi="宋体" w:eastAsia="宋体" w:cs="宋体"/>
          <w:caps/>
          <w:smallCaps w:val="0"/>
          <w:sz w:val="28"/>
          <w:szCs w:val="28"/>
        </w:rPr>
        <w:fldChar w:fldCharType="end"/>
      </w:r>
    </w:p>
    <w:p w14:paraId="4FA0D106">
      <w:pPr>
        <w:pStyle w:val="29"/>
        <w:spacing w:line="480" w:lineRule="auto"/>
        <w:ind w:left="0"/>
        <w:rPr>
          <w:rStyle w:val="42"/>
          <w:rFonts w:ascii="宋体" w:hAnsi="宋体" w:eastAsia="宋体" w:cs="宋体"/>
          <w:caps/>
          <w:smallCaps w:val="0"/>
          <w:sz w:val="28"/>
          <w:szCs w:val="28"/>
        </w:rPr>
      </w:pPr>
      <w:r>
        <w:rPr>
          <w:rStyle w:val="42"/>
          <w:rFonts w:hint="eastAsia" w:ascii="宋体" w:hAnsi="宋体" w:eastAsia="宋体" w:cs="宋体"/>
          <w:caps/>
          <w:smallCaps w:val="0"/>
          <w:sz w:val="28"/>
          <w:szCs w:val="28"/>
        </w:rPr>
        <w:t>诚信合作与公平竞争协议</w:t>
      </w:r>
      <w:r>
        <w:rPr>
          <w:rStyle w:val="42"/>
          <w:rFonts w:hint="eastAsia" w:ascii="宋体" w:hAnsi="宋体" w:eastAsia="宋体" w:cs="宋体"/>
          <w:caps/>
          <w:smallCaps w:val="0"/>
          <w:sz w:val="28"/>
          <w:szCs w:val="28"/>
        </w:rPr>
        <w:tab/>
      </w:r>
      <w:r>
        <w:rPr>
          <w:rStyle w:val="42"/>
          <w:rFonts w:ascii="宋体" w:hAnsi="宋体" w:eastAsia="宋体" w:cs="宋体"/>
          <w:caps/>
          <w:smallCaps w:val="0"/>
          <w:sz w:val="28"/>
          <w:szCs w:val="28"/>
        </w:rPr>
        <w:t>15</w:t>
      </w:r>
    </w:p>
    <w:p w14:paraId="1E05A575">
      <w:pPr>
        <w:pStyle w:val="29"/>
        <w:spacing w:line="480" w:lineRule="auto"/>
        <w:ind w:left="0"/>
        <w:rPr>
          <w:rStyle w:val="42"/>
          <w:rFonts w:ascii="宋体" w:hAnsi="宋体" w:eastAsia="宋体" w:cs="宋体"/>
          <w:caps/>
          <w:smallCaps w:val="0"/>
          <w:sz w:val="28"/>
          <w:szCs w:val="28"/>
        </w:rPr>
      </w:pPr>
      <w:r>
        <w:fldChar w:fldCharType="begin"/>
      </w:r>
      <w:r>
        <w:instrText xml:space="preserve"> HYPERLINK \l "_Toc115424836" </w:instrText>
      </w:r>
      <w:r>
        <w:fldChar w:fldCharType="separate"/>
      </w:r>
      <w:r>
        <w:rPr>
          <w:rStyle w:val="42"/>
          <w:rFonts w:hint="eastAsia" w:ascii="宋体" w:hAnsi="宋体" w:eastAsia="宋体" w:cs="宋体"/>
          <w:caps/>
          <w:smallCaps w:val="0"/>
          <w:sz w:val="28"/>
          <w:szCs w:val="28"/>
        </w:rPr>
        <w:t>招竞标保密协议</w:t>
      </w:r>
      <w:r>
        <w:rPr>
          <w:rStyle w:val="42"/>
          <w:rFonts w:hint="eastAsia" w:ascii="宋体" w:hAnsi="宋体" w:eastAsia="宋体" w:cs="宋体"/>
          <w:caps/>
          <w:smallCaps w:val="0"/>
          <w:sz w:val="28"/>
          <w:szCs w:val="28"/>
        </w:rPr>
        <w:tab/>
      </w:r>
      <w:r>
        <w:rPr>
          <w:rStyle w:val="42"/>
          <w:rFonts w:ascii="宋体" w:hAnsi="宋体" w:eastAsia="宋体" w:cs="宋体"/>
          <w:caps/>
          <w:smallCaps w:val="0"/>
          <w:sz w:val="28"/>
          <w:szCs w:val="28"/>
        </w:rPr>
        <w:t>17</w:t>
      </w:r>
      <w:r>
        <w:rPr>
          <w:rStyle w:val="42"/>
          <w:rFonts w:ascii="宋体" w:hAnsi="宋体" w:eastAsia="宋体" w:cs="宋体"/>
          <w:caps/>
          <w:smallCaps w:val="0"/>
          <w:sz w:val="28"/>
          <w:szCs w:val="28"/>
        </w:rPr>
        <w:fldChar w:fldCharType="end"/>
      </w:r>
    </w:p>
    <w:p w14:paraId="713A38F7">
      <w:pPr>
        <w:pStyle w:val="29"/>
        <w:spacing w:line="480" w:lineRule="auto"/>
        <w:ind w:left="0"/>
        <w:rPr>
          <w:rStyle w:val="42"/>
          <w:rFonts w:ascii="宋体" w:hAnsi="宋体" w:eastAsia="宋体" w:cs="宋体"/>
          <w:caps/>
          <w:smallCaps w:val="0"/>
          <w:sz w:val="28"/>
          <w:szCs w:val="28"/>
        </w:rPr>
      </w:pPr>
      <w:r>
        <w:fldChar w:fldCharType="begin"/>
      </w:r>
      <w:r>
        <w:instrText xml:space="preserve"> HYPERLINK \l "_Toc115424837" </w:instrText>
      </w:r>
      <w:r>
        <w:fldChar w:fldCharType="separate"/>
      </w:r>
      <w:r>
        <w:rPr>
          <w:rStyle w:val="42"/>
          <w:rFonts w:hint="eastAsia" w:ascii="宋体" w:hAnsi="宋体" w:eastAsia="宋体" w:cs="宋体"/>
          <w:caps/>
          <w:smallCaps w:val="0"/>
          <w:sz w:val="28"/>
          <w:szCs w:val="28"/>
        </w:rPr>
        <w:t>采购合同</w:t>
      </w:r>
      <w:r>
        <w:rPr>
          <w:rStyle w:val="42"/>
          <w:rFonts w:hint="eastAsia" w:ascii="宋体" w:hAnsi="宋体" w:eastAsia="宋体" w:cs="宋体"/>
          <w:caps/>
          <w:smallCaps w:val="0"/>
          <w:sz w:val="28"/>
          <w:szCs w:val="28"/>
        </w:rPr>
        <w:tab/>
      </w:r>
      <w:r>
        <w:rPr>
          <w:rStyle w:val="42"/>
          <w:rFonts w:ascii="宋体" w:hAnsi="宋体" w:eastAsia="宋体" w:cs="宋体"/>
          <w:caps/>
          <w:smallCaps w:val="0"/>
          <w:sz w:val="28"/>
          <w:szCs w:val="28"/>
        </w:rPr>
        <w:t>21</w:t>
      </w:r>
      <w:r>
        <w:rPr>
          <w:rStyle w:val="42"/>
          <w:rFonts w:ascii="宋体" w:hAnsi="宋体" w:eastAsia="宋体" w:cs="宋体"/>
          <w:caps/>
          <w:smallCaps w:val="0"/>
          <w:sz w:val="28"/>
          <w:szCs w:val="28"/>
        </w:rPr>
        <w:fldChar w:fldCharType="end"/>
      </w:r>
    </w:p>
    <w:p w14:paraId="4577C2E3">
      <w:pPr>
        <w:pStyle w:val="29"/>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42"/>
          <w:rFonts w:hint="eastAsia" w:ascii="宋体" w:hAnsi="宋体" w:eastAsia="宋体" w:cs="宋体"/>
          <w:caps/>
          <w:smallCaps w:val="0"/>
          <w:sz w:val="28"/>
          <w:szCs w:val="28"/>
        </w:rPr>
        <w:t>招标文件封面</w:t>
      </w:r>
      <w:r>
        <w:rPr>
          <w:rStyle w:val="42"/>
          <w:rFonts w:hint="eastAsia" w:ascii="宋体" w:hAnsi="宋体" w:eastAsia="宋体" w:cs="宋体"/>
          <w:caps/>
          <w:smallCaps w:val="0"/>
          <w:sz w:val="28"/>
          <w:szCs w:val="28"/>
        </w:rPr>
        <w:tab/>
      </w:r>
      <w:r>
        <w:rPr>
          <w:rStyle w:val="42"/>
          <w:rFonts w:ascii="宋体" w:hAnsi="宋体" w:eastAsia="宋体" w:cs="宋体"/>
          <w:caps/>
          <w:smallCaps w:val="0"/>
          <w:sz w:val="28"/>
          <w:szCs w:val="28"/>
        </w:rPr>
        <w:t>33</w:t>
      </w:r>
      <w:r>
        <w:rPr>
          <w:rStyle w:val="42"/>
          <w:rFonts w:ascii="宋体" w:hAnsi="宋体" w:eastAsia="宋体" w:cs="宋体"/>
          <w:caps/>
          <w:smallCaps w:val="0"/>
          <w:sz w:val="28"/>
          <w:szCs w:val="28"/>
        </w:rPr>
        <w:fldChar w:fldCharType="end"/>
      </w:r>
    </w:p>
    <w:p w14:paraId="5A38E7FC">
      <w:pPr>
        <w:snapToGrid w:val="0"/>
        <w:spacing w:line="360" w:lineRule="auto"/>
        <w:rPr>
          <w:rFonts w:ascii="宋体" w:hAnsi="宋体" w:eastAsia="宋体" w:cs="宋体"/>
          <w:sz w:val="28"/>
          <w:szCs w:val="28"/>
        </w:rPr>
        <w:sectPr>
          <w:footerReference r:id="rId3" w:type="default"/>
          <w:type w:val="continuous"/>
          <w:pgSz w:w="11906" w:h="16838"/>
          <w:pgMar w:top="993" w:right="991" w:bottom="851" w:left="1134" w:header="851" w:footer="348" w:gutter="0"/>
          <w:cols w:space="425" w:num="1"/>
          <w:docGrid w:type="lines" w:linePitch="312" w:charSpace="0"/>
        </w:sectPr>
      </w:pPr>
      <w:r>
        <w:rPr>
          <w:rFonts w:hint="eastAsia" w:ascii="宋体" w:hAnsi="宋体" w:eastAsia="宋体" w:cs="宋体"/>
          <w:b/>
          <w:bCs/>
          <w:lang w:val="zh-CN"/>
        </w:rPr>
        <w:fldChar w:fldCharType="end"/>
      </w:r>
    </w:p>
    <w:p w14:paraId="02A6E8B5">
      <w:pPr>
        <w:spacing w:line="360" w:lineRule="auto"/>
        <w:rPr>
          <w:rFonts w:ascii="宋体" w:hAnsi="宋体" w:eastAsia="宋体" w:cs="宋体"/>
          <w:sz w:val="24"/>
          <w:szCs w:val="28"/>
        </w:rPr>
      </w:pPr>
    </w:p>
    <w:p w14:paraId="74F60DF7">
      <w:pPr>
        <w:pStyle w:val="64"/>
        <w:numPr>
          <w:ilvl w:val="0"/>
          <w:numId w:val="3"/>
        </w:numPr>
        <w:snapToGrid w:val="0"/>
        <w:spacing w:line="360" w:lineRule="auto"/>
        <w:ind w:left="0" w:firstLine="0" w:firstLineChars="0"/>
        <w:jc w:val="center"/>
        <w:outlineLvl w:val="0"/>
        <w:rPr>
          <w:rFonts w:ascii="宋体" w:hAnsi="宋体" w:eastAsia="宋体" w:cs="宋体"/>
          <w:b/>
          <w:bCs/>
          <w:sz w:val="32"/>
          <w:szCs w:val="32"/>
        </w:rPr>
      </w:pPr>
      <w:bookmarkStart w:id="0" w:name="_Toc115362580"/>
      <w:bookmarkStart w:id="1" w:name="_Toc115362799"/>
      <w:bookmarkStart w:id="2" w:name="_Toc115362483"/>
      <w:bookmarkStart w:id="3" w:name="_Hlk115359927"/>
      <w:r>
        <w:rPr>
          <w:rFonts w:hint="eastAsia" w:ascii="宋体" w:hAnsi="宋体" w:eastAsia="宋体" w:cs="宋体"/>
          <w:b/>
          <w:bCs/>
          <w:sz w:val="32"/>
          <w:szCs w:val="32"/>
        </w:rPr>
        <w:t>竞标邀请书</w:t>
      </w:r>
      <w:bookmarkEnd w:id="0"/>
      <w:bookmarkEnd w:id="1"/>
      <w:bookmarkEnd w:id="2"/>
    </w:p>
    <w:bookmarkEnd w:id="3"/>
    <w:p w14:paraId="777031A5">
      <w:pPr>
        <w:snapToGrid w:val="0"/>
        <w:spacing w:line="360" w:lineRule="auto"/>
        <w:ind w:firstLine="420"/>
        <w:rPr>
          <w:rFonts w:hint="eastAsia" w:ascii="宋体" w:hAnsi="宋体" w:eastAsia="宋体" w:cs="宋体"/>
          <w:sz w:val="21"/>
          <w:szCs w:val="21"/>
        </w:rPr>
      </w:pPr>
      <w:bookmarkStart w:id="4" w:name="_Hlk115360115"/>
      <w:r>
        <w:rPr>
          <w:rFonts w:hint="eastAsia" w:ascii="宋体" w:hAnsi="宋体" w:eastAsia="宋体" w:cs="宋体"/>
          <w:sz w:val="21"/>
          <w:szCs w:val="21"/>
        </w:rPr>
        <w:t>本次招标，旨在通过邀请符合资质及技术等要求的单位进行竞标，从而选择最符合我司需求的产品及服务。本着公平、公正、公开的原则，现对“眉山琏升光伏科技有限公司-国际物流运输项目”进行招标，具体内容如下：</w:t>
      </w:r>
    </w:p>
    <w:p w14:paraId="6DBD7A87">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1、项目概况</w:t>
      </w:r>
    </w:p>
    <w:p w14:paraId="2E1DF169">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1.1项目名称： 眉山琏升光伏科技有限公司—</w:t>
      </w:r>
      <w:r>
        <w:rPr>
          <w:rFonts w:hint="eastAsia" w:ascii="宋体" w:hAnsi="宋体" w:eastAsia="宋体" w:cs="宋体"/>
          <w:sz w:val="21"/>
          <w:szCs w:val="21"/>
          <w:lang w:val="en-US" w:eastAsia="zh-CN"/>
        </w:rPr>
        <w:t>2026年</w:t>
      </w:r>
      <w:r>
        <w:rPr>
          <w:rFonts w:hint="eastAsia" w:ascii="宋体" w:hAnsi="宋体" w:eastAsia="宋体" w:cs="宋体"/>
          <w:sz w:val="21"/>
          <w:szCs w:val="21"/>
        </w:rPr>
        <w:t>国际物流运输项目</w:t>
      </w:r>
    </w:p>
    <w:p w14:paraId="5D3BC880">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1.2项目地址：四川省眉山市丹棱县（丹棱经济开发区A区）兴欣大道1号</w:t>
      </w:r>
    </w:p>
    <w:p w14:paraId="5A18C13A">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2、招竞标流程</w:t>
      </w:r>
    </w:p>
    <w:p w14:paraId="1C70288E">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2.1招标管理小组向有意参与竞标的企业以电子邮件方式发送竞争性谈判文件；</w:t>
      </w:r>
    </w:p>
    <w:p w14:paraId="46AF9224">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2.2竞标企业编制竞标文件，</w:t>
      </w:r>
      <w:r>
        <w:rPr>
          <w:rFonts w:hint="eastAsia" w:ascii="宋体" w:hAnsi="宋体" w:eastAsia="宋体" w:cs="宋体"/>
          <w:sz w:val="21"/>
          <w:szCs w:val="21"/>
          <w:lang w:eastAsia="zh-CN"/>
        </w:rPr>
        <w:t>在</w:t>
      </w:r>
      <w:r>
        <w:rPr>
          <w:rFonts w:hint="eastAsia" w:ascii="宋体" w:hAnsi="宋体" w:eastAsia="宋体" w:cs="宋体"/>
          <w:sz w:val="21"/>
          <w:szCs w:val="21"/>
          <w:lang w:val="en-US" w:eastAsia="zh-CN"/>
        </w:rPr>
        <w:t>竞标截止日期前将竞标文件发送至商务及技术联系人邮箱</w:t>
      </w:r>
      <w:r>
        <w:rPr>
          <w:rFonts w:hint="eastAsia" w:ascii="宋体" w:hAnsi="宋体" w:eastAsia="宋体" w:cs="宋体"/>
          <w:sz w:val="21"/>
          <w:szCs w:val="21"/>
        </w:rPr>
        <w:t>；</w:t>
      </w:r>
    </w:p>
    <w:p w14:paraId="4A98C6BA">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2.3招标管理小组组织</w:t>
      </w:r>
      <w:r>
        <w:rPr>
          <w:rFonts w:hint="eastAsia" w:ascii="宋体" w:hAnsi="宋体" w:eastAsia="宋体" w:cs="宋体"/>
          <w:sz w:val="21"/>
          <w:szCs w:val="21"/>
          <w:lang w:val="en-US" w:eastAsia="zh-CN"/>
        </w:rPr>
        <w:t>评审</w:t>
      </w:r>
      <w:r>
        <w:rPr>
          <w:rFonts w:hint="eastAsia" w:ascii="宋体" w:hAnsi="宋体" w:eastAsia="宋体" w:cs="宋体"/>
          <w:sz w:val="21"/>
          <w:szCs w:val="21"/>
        </w:rPr>
        <w:t>，确定中标候选单位并最终确定中标单位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4家入围签订框架协议，实际根据具体线路计划部组织单独比价</w:t>
      </w:r>
      <w:r>
        <w:rPr>
          <w:rFonts w:hint="eastAsia" w:ascii="宋体" w:hAnsi="宋体" w:eastAsia="宋体" w:cs="宋体"/>
          <w:sz w:val="21"/>
          <w:szCs w:val="21"/>
          <w:lang w:eastAsia="zh-CN"/>
        </w:rPr>
        <w:t>）</w:t>
      </w:r>
      <w:r>
        <w:rPr>
          <w:rFonts w:hint="eastAsia" w:ascii="宋体" w:hAnsi="宋体" w:eastAsia="宋体" w:cs="宋体"/>
          <w:sz w:val="21"/>
          <w:szCs w:val="21"/>
        </w:rPr>
        <w:t>；</w:t>
      </w:r>
    </w:p>
    <w:p w14:paraId="58063A49">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2.4与中标单位签订</w:t>
      </w:r>
      <w:r>
        <w:rPr>
          <w:rFonts w:hint="eastAsia" w:ascii="宋体" w:hAnsi="宋体" w:eastAsia="宋体" w:cs="宋体"/>
          <w:sz w:val="21"/>
          <w:szCs w:val="21"/>
          <w:lang w:val="en-US" w:eastAsia="zh-CN"/>
        </w:rPr>
        <w:t>框架</w:t>
      </w:r>
      <w:r>
        <w:rPr>
          <w:rFonts w:hint="eastAsia" w:ascii="宋体" w:hAnsi="宋体" w:eastAsia="宋体" w:cs="宋体"/>
          <w:sz w:val="21"/>
          <w:szCs w:val="21"/>
        </w:rPr>
        <w:t>合同。</w:t>
      </w:r>
    </w:p>
    <w:p w14:paraId="4198A39E">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*3、招标范围</w:t>
      </w:r>
    </w:p>
    <w:p w14:paraId="711D3F5F">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3.1详见第四章 技术要求</w:t>
      </w:r>
    </w:p>
    <w:p w14:paraId="30288C11">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3.2本次根据技术及商务评审情况</w:t>
      </w:r>
      <w:r>
        <w:rPr>
          <w:rFonts w:hint="eastAsia" w:ascii="宋体" w:hAnsi="宋体" w:eastAsia="宋体" w:cs="宋体"/>
          <w:sz w:val="21"/>
          <w:szCs w:val="21"/>
          <w:lang w:val="en-US" w:eastAsia="zh-CN"/>
        </w:rPr>
        <w:t>作合格供应商入围（4家），实际执行以实际线路需求在合格供应商内组织单次询比价确定</w:t>
      </w:r>
      <w:r>
        <w:rPr>
          <w:rFonts w:hint="eastAsia" w:ascii="宋体" w:hAnsi="宋体" w:eastAsia="宋体" w:cs="宋体"/>
          <w:sz w:val="21"/>
          <w:szCs w:val="21"/>
        </w:rPr>
        <w:t>。</w:t>
      </w:r>
    </w:p>
    <w:p w14:paraId="650DB95A">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4、投标时间</w:t>
      </w:r>
    </w:p>
    <w:p w14:paraId="026DD638">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4.1本次竞标截止时间：请于</w:t>
      </w:r>
      <w:r>
        <w:rPr>
          <w:rFonts w:hint="eastAsia" w:ascii="宋体" w:hAnsi="宋体" w:eastAsia="宋体" w:cs="宋体"/>
          <w:b/>
          <w:sz w:val="21"/>
          <w:szCs w:val="21"/>
        </w:rPr>
        <w:t>202</w:t>
      </w:r>
      <w:r>
        <w:rPr>
          <w:rFonts w:hint="eastAsia" w:ascii="宋体" w:hAnsi="宋体" w:eastAsia="宋体" w:cs="宋体"/>
          <w:b/>
          <w:sz w:val="21"/>
          <w:szCs w:val="21"/>
          <w:lang w:val="en-US" w:eastAsia="zh-CN"/>
        </w:rPr>
        <w:t>5</w:t>
      </w:r>
      <w:r>
        <w:rPr>
          <w:rFonts w:hint="eastAsia" w:ascii="宋体" w:hAnsi="宋体" w:eastAsia="宋体" w:cs="宋体"/>
          <w:b/>
          <w:sz w:val="21"/>
          <w:szCs w:val="21"/>
        </w:rPr>
        <w:t>年</w:t>
      </w:r>
      <w:r>
        <w:rPr>
          <w:rFonts w:hint="eastAsia" w:ascii="宋体" w:hAnsi="宋体" w:eastAsia="宋体" w:cs="宋体"/>
          <w:b/>
          <w:sz w:val="21"/>
          <w:szCs w:val="21"/>
          <w:lang w:val="en-US" w:eastAsia="zh-CN"/>
        </w:rPr>
        <w:t>1</w:t>
      </w:r>
      <w:r>
        <w:rPr>
          <w:rFonts w:hint="eastAsia" w:ascii="宋体" w:hAnsi="宋体" w:eastAsia="宋体" w:cs="宋体"/>
          <w:b/>
          <w:sz w:val="21"/>
          <w:szCs w:val="21"/>
        </w:rPr>
        <w:t>月</w:t>
      </w:r>
      <w:r>
        <w:rPr>
          <w:rFonts w:hint="eastAsia" w:ascii="宋体" w:hAnsi="宋体" w:eastAsia="宋体" w:cs="宋体"/>
          <w:b/>
          <w:sz w:val="21"/>
          <w:szCs w:val="21"/>
          <w:lang w:val="en-US" w:eastAsia="zh-CN"/>
        </w:rPr>
        <w:t>6</w:t>
      </w:r>
      <w:r>
        <w:rPr>
          <w:rFonts w:hint="eastAsia" w:ascii="宋体" w:hAnsi="宋体" w:eastAsia="宋体" w:cs="宋体"/>
          <w:b/>
          <w:sz w:val="21"/>
          <w:szCs w:val="21"/>
        </w:rPr>
        <w:t>日9点00分前</w:t>
      </w:r>
      <w:r>
        <w:rPr>
          <w:rFonts w:hint="eastAsia" w:ascii="宋体" w:hAnsi="宋体" w:eastAsia="宋体" w:cs="宋体"/>
          <w:sz w:val="21"/>
          <w:szCs w:val="21"/>
        </w:rPr>
        <w:t>（北京时间）前</w:t>
      </w:r>
      <w:r>
        <w:rPr>
          <w:rFonts w:hint="eastAsia" w:ascii="宋体" w:hAnsi="宋体" w:eastAsia="宋体" w:cs="宋体"/>
          <w:sz w:val="21"/>
          <w:szCs w:val="21"/>
          <w:lang w:val="en-US" w:eastAsia="zh-CN"/>
        </w:rPr>
        <w:t>将投标资料上传至公司官网或发送至商务联系人邮箱</w:t>
      </w:r>
      <w:r>
        <w:rPr>
          <w:rFonts w:hint="eastAsia" w:ascii="宋体" w:hAnsi="宋体" w:eastAsia="宋体" w:cs="宋体"/>
          <w:sz w:val="21"/>
          <w:szCs w:val="21"/>
        </w:rPr>
        <w:t>，逾期恕不接纳。</w:t>
      </w:r>
    </w:p>
    <w:p w14:paraId="153B6331">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5、开、评标时间及地点</w:t>
      </w:r>
    </w:p>
    <w:p w14:paraId="7ABAFE22">
      <w:pPr>
        <w:snapToGrid w:val="0"/>
        <w:spacing w:line="360" w:lineRule="auto"/>
        <w:ind w:firstLine="420"/>
        <w:rPr>
          <w:rFonts w:hint="default" w:ascii="宋体" w:hAnsi="宋体" w:eastAsia="宋体" w:cs="宋体"/>
          <w:sz w:val="21"/>
          <w:szCs w:val="21"/>
          <w:lang w:val="en-US" w:eastAsia="zh-CN"/>
        </w:rPr>
      </w:pPr>
      <w:r>
        <w:rPr>
          <w:rFonts w:hint="eastAsia" w:ascii="宋体" w:hAnsi="宋体" w:eastAsia="宋体" w:cs="宋体"/>
          <w:sz w:val="21"/>
          <w:szCs w:val="21"/>
        </w:rPr>
        <w:t>5.1</w:t>
      </w:r>
      <w:r>
        <w:rPr>
          <w:rFonts w:hint="eastAsia" w:ascii="宋体" w:hAnsi="宋体" w:eastAsia="宋体" w:cs="宋体"/>
          <w:sz w:val="21"/>
          <w:szCs w:val="21"/>
          <w:lang w:val="en-US" w:eastAsia="zh-CN"/>
        </w:rPr>
        <w:t>评</w:t>
      </w:r>
      <w:r>
        <w:rPr>
          <w:rFonts w:hint="eastAsia" w:ascii="宋体" w:hAnsi="宋体" w:eastAsia="宋体" w:cs="宋体"/>
          <w:sz w:val="21"/>
          <w:szCs w:val="21"/>
        </w:rPr>
        <w:t>标时间</w:t>
      </w:r>
      <w:r>
        <w:rPr>
          <w:rFonts w:hint="eastAsia" w:ascii="宋体" w:hAnsi="宋体" w:eastAsia="宋体" w:cs="宋体"/>
          <w:sz w:val="21"/>
          <w:szCs w:val="21"/>
          <w:lang w:val="en-US" w:eastAsia="zh-CN"/>
        </w:rPr>
        <w:t>暂定</w:t>
      </w:r>
      <w:r>
        <w:rPr>
          <w:rFonts w:hint="eastAsia" w:ascii="宋体" w:hAnsi="宋体" w:eastAsia="宋体" w:cs="宋体"/>
          <w:sz w:val="21"/>
          <w:szCs w:val="21"/>
        </w:rPr>
        <w:t>为</w:t>
      </w:r>
      <w:r>
        <w:rPr>
          <w:rFonts w:hint="eastAsia" w:ascii="宋体" w:hAnsi="宋体" w:eastAsia="宋体" w:cs="宋体"/>
          <w:b/>
          <w:sz w:val="21"/>
          <w:szCs w:val="21"/>
        </w:rPr>
        <w:t>202</w:t>
      </w:r>
      <w:r>
        <w:rPr>
          <w:rFonts w:hint="eastAsia" w:ascii="宋体" w:hAnsi="宋体" w:eastAsia="宋体" w:cs="宋体"/>
          <w:b/>
          <w:sz w:val="21"/>
          <w:szCs w:val="21"/>
          <w:lang w:val="en-US" w:eastAsia="zh-CN"/>
        </w:rPr>
        <w:t>6</w:t>
      </w:r>
      <w:r>
        <w:rPr>
          <w:rFonts w:hint="eastAsia" w:ascii="宋体" w:hAnsi="宋体" w:eastAsia="宋体" w:cs="宋体"/>
          <w:b/>
          <w:sz w:val="21"/>
          <w:szCs w:val="21"/>
        </w:rPr>
        <w:t>年</w:t>
      </w:r>
      <w:r>
        <w:rPr>
          <w:rFonts w:hint="eastAsia" w:ascii="宋体" w:hAnsi="宋体" w:eastAsia="宋体" w:cs="宋体"/>
          <w:b/>
          <w:sz w:val="21"/>
          <w:szCs w:val="21"/>
          <w:lang w:val="en-US" w:eastAsia="zh-CN"/>
        </w:rPr>
        <w:t>1</w:t>
      </w:r>
      <w:r>
        <w:rPr>
          <w:rFonts w:hint="eastAsia" w:ascii="宋体" w:hAnsi="宋体" w:eastAsia="宋体" w:cs="宋体"/>
          <w:b/>
          <w:sz w:val="21"/>
          <w:szCs w:val="21"/>
        </w:rPr>
        <w:t>月</w:t>
      </w:r>
      <w:r>
        <w:rPr>
          <w:rFonts w:hint="eastAsia" w:ascii="宋体" w:hAnsi="宋体" w:eastAsia="宋体" w:cs="宋体"/>
          <w:b/>
          <w:sz w:val="21"/>
          <w:szCs w:val="21"/>
          <w:lang w:val="en-US" w:eastAsia="zh-CN"/>
        </w:rPr>
        <w:t>9</w:t>
      </w:r>
      <w:r>
        <w:rPr>
          <w:rFonts w:hint="eastAsia" w:ascii="宋体" w:hAnsi="宋体" w:eastAsia="宋体" w:cs="宋体"/>
          <w:b/>
          <w:sz w:val="21"/>
          <w:szCs w:val="21"/>
        </w:rPr>
        <w:t>日9点00分</w:t>
      </w:r>
      <w:r>
        <w:rPr>
          <w:rFonts w:hint="eastAsia" w:ascii="宋体" w:hAnsi="宋体" w:eastAsia="宋体" w:cs="宋体"/>
          <w:b/>
          <w:sz w:val="21"/>
          <w:szCs w:val="21"/>
          <w:lang w:val="en-US" w:eastAsia="zh-CN"/>
        </w:rPr>
        <w:t>线上评标（具体以招标人线下通知为准）</w:t>
      </w:r>
      <w:r>
        <w:rPr>
          <w:rFonts w:hint="eastAsia" w:ascii="宋体" w:hAnsi="宋体" w:eastAsia="宋体" w:cs="宋体"/>
          <w:sz w:val="21"/>
          <w:szCs w:val="21"/>
        </w:rPr>
        <w:t>，</w:t>
      </w:r>
      <w:r>
        <w:rPr>
          <w:rFonts w:hint="eastAsia" w:ascii="宋体" w:hAnsi="宋体" w:eastAsia="宋体" w:cs="宋体"/>
          <w:sz w:val="21"/>
          <w:szCs w:val="21"/>
          <w:lang w:val="en-US" w:eastAsia="zh-CN"/>
        </w:rPr>
        <w:t>评标顺序：以商务联系人发送的线上会议链接通知为准</w:t>
      </w:r>
    </w:p>
    <w:p w14:paraId="42466697">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5.2开、评标地点：四川省眉山市丹棱县（丹棱经济开发区A区）兴欣大道1号。</w:t>
      </w:r>
    </w:p>
    <w:p w14:paraId="62460795">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6、联系方式</w:t>
      </w:r>
    </w:p>
    <w:p w14:paraId="5FD5618E">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 xml:space="preserve">技术联系人及联系方式：冯雪英      13882275017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"mailto:fengxy@leascend.com" </w:instrText>
      </w:r>
      <w:r>
        <w:rPr>
          <w:rFonts w:hint="eastAsia" w:ascii="宋体" w:hAnsi="宋体" w:eastAsia="宋体" w:cs="宋体"/>
          <w:sz w:val="21"/>
          <w:szCs w:val="21"/>
        </w:rPr>
        <w:fldChar w:fldCharType="separate"/>
      </w:r>
      <w:r>
        <w:rPr>
          <w:rFonts w:hint="eastAsia" w:ascii="宋体" w:hAnsi="宋体" w:eastAsia="宋体" w:cs="宋体"/>
          <w:sz w:val="21"/>
          <w:szCs w:val="21"/>
        </w:rPr>
        <w:t>fengxy@leascend.com</w:t>
      </w:r>
      <w:r>
        <w:rPr>
          <w:rFonts w:hint="eastAsia" w:ascii="宋体" w:hAnsi="宋体" w:eastAsia="宋体" w:cs="宋体"/>
          <w:sz w:val="21"/>
          <w:szCs w:val="21"/>
        </w:rPr>
        <w:fldChar w:fldCharType="end"/>
      </w:r>
      <w:r>
        <w:rPr>
          <w:rFonts w:hint="eastAsia" w:ascii="宋体" w:hAnsi="宋体" w:eastAsia="宋体" w:cs="宋体"/>
          <w:sz w:val="21"/>
          <w:szCs w:val="21"/>
        </w:rPr>
        <w:t>；</w:t>
      </w:r>
    </w:p>
    <w:p w14:paraId="3BFD9001">
      <w:pPr>
        <w:snapToGrid w:val="0"/>
        <w:spacing w:line="360" w:lineRule="auto"/>
        <w:ind w:firstLine="420"/>
        <w:rPr>
          <w:rFonts w:hint="eastAsia" w:ascii="宋体" w:hAnsi="宋体" w:eastAsia="宋体" w:cs="宋体"/>
          <w:sz w:val="21"/>
          <w:szCs w:val="21"/>
        </w:rPr>
      </w:pPr>
      <w:r>
        <w:rPr>
          <w:rFonts w:hint="eastAsia" w:ascii="宋体" w:hAnsi="宋体" w:eastAsia="宋体" w:cs="宋体"/>
          <w:sz w:val="21"/>
          <w:szCs w:val="21"/>
        </w:rPr>
        <w:t>商务联系人及联系方式：</w:t>
      </w:r>
      <w:r>
        <w:rPr>
          <w:rFonts w:hint="eastAsia" w:ascii="宋体" w:hAnsi="宋体" w:eastAsia="宋体" w:cs="宋体"/>
          <w:sz w:val="21"/>
          <w:szCs w:val="21"/>
          <w:lang w:val="en-US" w:eastAsia="zh-CN"/>
        </w:rPr>
        <w:t>杨超</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13408453319</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yangc01</w:t>
      </w:r>
      <w:r>
        <w:rPr>
          <w:rFonts w:hint="eastAsia" w:ascii="宋体" w:hAnsi="宋体" w:eastAsia="宋体" w:cs="宋体"/>
          <w:sz w:val="21"/>
          <w:szCs w:val="21"/>
        </w:rPr>
        <w:t>@leascend.com；</w:t>
      </w:r>
    </w:p>
    <w:p w14:paraId="232BF9A3">
      <w:pPr>
        <w:snapToGrid w:val="0"/>
        <w:spacing w:line="360" w:lineRule="auto"/>
        <w:ind w:firstLine="420"/>
        <w:rPr>
          <w:rFonts w:ascii="宋体" w:hAnsi="宋体" w:eastAsia="宋体" w:cs="宋体"/>
        </w:rPr>
      </w:pPr>
      <w:r>
        <w:rPr>
          <w:rFonts w:hint="eastAsia" w:ascii="宋体" w:hAnsi="宋体" w:eastAsia="宋体" w:cs="宋体"/>
        </w:rPr>
        <w:br w:type="page"/>
      </w:r>
    </w:p>
    <w:bookmarkEnd w:id="4"/>
    <w:p w14:paraId="52EB2457">
      <w:pPr>
        <w:pStyle w:val="64"/>
        <w:numPr>
          <w:ilvl w:val="0"/>
          <w:numId w:val="3"/>
        </w:numPr>
        <w:snapToGrid w:val="0"/>
        <w:spacing w:line="360" w:lineRule="auto"/>
        <w:ind w:firstLineChars="0"/>
        <w:jc w:val="center"/>
        <w:outlineLvl w:val="0"/>
        <w:rPr>
          <w:rFonts w:ascii="宋体" w:hAnsi="宋体" w:eastAsia="宋体" w:cs="宋体"/>
          <w:b/>
          <w:bCs/>
          <w:sz w:val="32"/>
          <w:szCs w:val="32"/>
        </w:rPr>
      </w:pPr>
      <w:bookmarkStart w:id="5" w:name="_Toc115362484"/>
      <w:bookmarkStart w:id="6" w:name="_Toc115362800"/>
      <w:bookmarkStart w:id="7" w:name="_Toc115362581"/>
      <w:bookmarkStart w:id="8" w:name="_Hlk115359833"/>
      <w:r>
        <w:rPr>
          <w:rFonts w:hint="eastAsia" w:ascii="宋体" w:hAnsi="宋体" w:eastAsia="宋体" w:cs="宋体"/>
          <w:b/>
          <w:bCs/>
          <w:sz w:val="32"/>
          <w:szCs w:val="32"/>
        </w:rPr>
        <w:t>竞标前须知</w:t>
      </w:r>
      <w:bookmarkEnd w:id="5"/>
      <w:bookmarkEnd w:id="6"/>
      <w:bookmarkEnd w:id="7"/>
      <w:bookmarkEnd w:id="8"/>
    </w:p>
    <w:p w14:paraId="03FB7F8D">
      <w:pPr>
        <w:pStyle w:val="68"/>
        <w:snapToGrid w:val="0"/>
        <w:ind w:firstLine="0" w:firstLineChars="0"/>
        <w:rPr>
          <w:rFonts w:hint="eastAsia" w:ascii="宋体" w:hAnsi="宋体" w:eastAsia="宋体" w:cs="宋体"/>
          <w:sz w:val="21"/>
          <w:szCs w:val="21"/>
        </w:rPr>
      </w:pPr>
      <w:r>
        <w:rPr>
          <w:rFonts w:hint="eastAsia" w:ascii="宋体" w:hAnsi="宋体" w:eastAsia="宋体" w:cs="宋体"/>
          <w:sz w:val="21"/>
          <w:szCs w:val="21"/>
        </w:rPr>
        <w:t>1、竞标人须知附表</w:t>
      </w:r>
    </w:p>
    <w:tbl>
      <w:tblPr>
        <w:tblStyle w:val="35"/>
        <w:tblW w:w="9923" w:type="dxa"/>
        <w:tblInd w:w="-147" w:type="dxa"/>
        <w:tblLayout w:type="autofit"/>
        <w:tblCellMar>
          <w:top w:w="0" w:type="dxa"/>
          <w:left w:w="108" w:type="dxa"/>
          <w:bottom w:w="0" w:type="dxa"/>
          <w:right w:w="108" w:type="dxa"/>
        </w:tblCellMar>
      </w:tblPr>
      <w:tblGrid>
        <w:gridCol w:w="993"/>
        <w:gridCol w:w="1134"/>
        <w:gridCol w:w="7796"/>
      </w:tblGrid>
      <w:tr w14:paraId="7D89CA5D">
        <w:tblPrEx>
          <w:tblCellMar>
            <w:top w:w="0" w:type="dxa"/>
            <w:left w:w="108" w:type="dxa"/>
            <w:bottom w:w="0" w:type="dxa"/>
            <w:right w:w="108" w:type="dxa"/>
          </w:tblCellMar>
        </w:tblPrEx>
        <w:trPr>
          <w:trHeight w:val="548"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14417A2">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条款号</w:t>
            </w:r>
          </w:p>
        </w:tc>
        <w:tc>
          <w:tcPr>
            <w:tcW w:w="1134" w:type="dxa"/>
            <w:tcBorders>
              <w:top w:val="single" w:color="auto" w:sz="4" w:space="0"/>
              <w:left w:val="nil"/>
              <w:bottom w:val="single" w:color="auto" w:sz="4" w:space="0"/>
              <w:right w:val="single" w:color="auto" w:sz="4" w:space="0"/>
            </w:tcBorders>
            <w:shd w:val="clear" w:color="auto" w:fill="auto"/>
            <w:vAlign w:val="center"/>
          </w:tcPr>
          <w:p w14:paraId="265DC78C">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3B8251F4">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编列内容</w:t>
            </w:r>
          </w:p>
        </w:tc>
      </w:tr>
      <w:tr w14:paraId="65D5D5D5">
        <w:tblPrEx>
          <w:tblCellMar>
            <w:top w:w="0" w:type="dxa"/>
            <w:left w:w="108" w:type="dxa"/>
            <w:bottom w:w="0" w:type="dxa"/>
            <w:right w:w="108" w:type="dxa"/>
          </w:tblCellMar>
        </w:tblPrEx>
        <w:trPr>
          <w:trHeight w:val="393"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EDE1CF2">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134" w:type="dxa"/>
            <w:tcBorders>
              <w:top w:val="nil"/>
              <w:left w:val="nil"/>
              <w:bottom w:val="single" w:color="auto" w:sz="4" w:space="0"/>
              <w:right w:val="single" w:color="auto" w:sz="4" w:space="0"/>
            </w:tcBorders>
            <w:shd w:val="clear" w:color="auto" w:fill="auto"/>
            <w:vAlign w:val="center"/>
          </w:tcPr>
          <w:p w14:paraId="667FE4A7">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招标人</w:t>
            </w:r>
          </w:p>
        </w:tc>
        <w:tc>
          <w:tcPr>
            <w:tcW w:w="7796" w:type="dxa"/>
            <w:tcBorders>
              <w:top w:val="nil"/>
              <w:left w:val="nil"/>
              <w:bottom w:val="single" w:color="auto" w:sz="4" w:space="0"/>
              <w:right w:val="single" w:color="auto" w:sz="4" w:space="0"/>
            </w:tcBorders>
            <w:shd w:val="clear" w:color="auto" w:fill="auto"/>
            <w:vAlign w:val="center"/>
          </w:tcPr>
          <w:p w14:paraId="6CA1250C">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眉山琏升光伏科技有限公司</w:t>
            </w:r>
          </w:p>
        </w:tc>
      </w:tr>
      <w:tr w14:paraId="63A6C8C9">
        <w:tblPrEx>
          <w:tblCellMar>
            <w:top w:w="0" w:type="dxa"/>
            <w:left w:w="108" w:type="dxa"/>
            <w:bottom w:w="0" w:type="dxa"/>
            <w:right w:w="108" w:type="dxa"/>
          </w:tblCellMar>
        </w:tblPrEx>
        <w:trPr>
          <w:trHeight w:val="85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89D1B26">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134" w:type="dxa"/>
            <w:tcBorders>
              <w:top w:val="nil"/>
              <w:left w:val="nil"/>
              <w:bottom w:val="single" w:color="auto" w:sz="4" w:space="0"/>
              <w:right w:val="single" w:color="auto" w:sz="4" w:space="0"/>
            </w:tcBorders>
            <w:shd w:val="clear" w:color="auto" w:fill="auto"/>
            <w:vAlign w:val="center"/>
          </w:tcPr>
          <w:p w14:paraId="02F7B9F2">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p>
        </w:tc>
        <w:tc>
          <w:tcPr>
            <w:tcW w:w="7796" w:type="dxa"/>
            <w:tcBorders>
              <w:top w:val="nil"/>
              <w:left w:val="nil"/>
              <w:bottom w:val="single" w:color="auto" w:sz="4" w:space="0"/>
              <w:right w:val="single" w:color="auto" w:sz="4" w:space="0"/>
            </w:tcBorders>
            <w:shd w:val="clear" w:color="auto" w:fill="auto"/>
            <w:vAlign w:val="center"/>
          </w:tcPr>
          <w:p w14:paraId="08E9AFF2">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眉山琏升光伏科技有限公司新能源 8GW 高效异质结电池片项目—</w:t>
            </w:r>
            <w:r>
              <w:rPr>
                <w:rFonts w:hint="eastAsia" w:ascii="宋体" w:hAnsi="宋体" w:eastAsia="宋体" w:cs="宋体"/>
                <w:sz w:val="21"/>
                <w:szCs w:val="21"/>
                <w:lang w:val="en-US" w:eastAsia="zh-CN"/>
              </w:rPr>
              <w:t>2026年</w:t>
            </w:r>
            <w:r>
              <w:rPr>
                <w:rFonts w:hint="eastAsia" w:ascii="宋体" w:hAnsi="宋体" w:eastAsia="宋体" w:cs="宋体"/>
                <w:sz w:val="21"/>
                <w:szCs w:val="21"/>
              </w:rPr>
              <w:t>国际物流运输项目</w:t>
            </w:r>
          </w:p>
        </w:tc>
      </w:tr>
      <w:tr w14:paraId="1DDCB4C4">
        <w:tblPrEx>
          <w:tblCellMar>
            <w:top w:w="0" w:type="dxa"/>
            <w:left w:w="108" w:type="dxa"/>
            <w:bottom w:w="0" w:type="dxa"/>
            <w:right w:w="108" w:type="dxa"/>
          </w:tblCellMar>
        </w:tblPrEx>
        <w:trPr>
          <w:trHeight w:val="543"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192E3D7">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134" w:type="dxa"/>
            <w:tcBorders>
              <w:top w:val="nil"/>
              <w:left w:val="nil"/>
              <w:bottom w:val="single" w:color="auto" w:sz="4" w:space="0"/>
              <w:right w:val="single" w:color="auto" w:sz="4" w:space="0"/>
            </w:tcBorders>
            <w:shd w:val="clear" w:color="auto" w:fill="auto"/>
            <w:vAlign w:val="center"/>
          </w:tcPr>
          <w:p w14:paraId="21C34CB2">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项目数量</w:t>
            </w:r>
          </w:p>
        </w:tc>
        <w:tc>
          <w:tcPr>
            <w:tcW w:w="7796" w:type="dxa"/>
            <w:tcBorders>
              <w:top w:val="nil"/>
              <w:left w:val="nil"/>
              <w:bottom w:val="single" w:color="auto" w:sz="4" w:space="0"/>
              <w:right w:val="single" w:color="auto" w:sz="4" w:space="0"/>
            </w:tcBorders>
            <w:shd w:val="clear" w:color="auto" w:fill="auto"/>
            <w:vAlign w:val="center"/>
          </w:tcPr>
          <w:p w14:paraId="66DCB49B">
            <w:pPr>
              <w:spacing w:line="360" w:lineRule="auto"/>
              <w:rPr>
                <w:rFonts w:hint="eastAsia" w:ascii="宋体" w:hAnsi="宋体" w:eastAsia="宋体" w:cs="宋体"/>
                <w:sz w:val="21"/>
                <w:szCs w:val="21"/>
              </w:rPr>
            </w:pPr>
            <w:r>
              <w:rPr>
                <w:rFonts w:hint="eastAsia" w:ascii="宋体" w:hAnsi="宋体" w:eastAsia="宋体" w:cs="宋体"/>
                <w:sz w:val="21"/>
                <w:szCs w:val="21"/>
              </w:rPr>
              <w:t>详见《眉山琏升光伏科技有限公司国际物流需求说明规格书》</w:t>
            </w:r>
          </w:p>
        </w:tc>
      </w:tr>
      <w:tr w14:paraId="12230C62">
        <w:tblPrEx>
          <w:tblCellMar>
            <w:top w:w="0" w:type="dxa"/>
            <w:left w:w="108" w:type="dxa"/>
            <w:bottom w:w="0" w:type="dxa"/>
            <w:right w:w="108" w:type="dxa"/>
          </w:tblCellMar>
        </w:tblPrEx>
        <w:trPr>
          <w:trHeight w:val="9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8A75007">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134" w:type="dxa"/>
            <w:tcBorders>
              <w:top w:val="nil"/>
              <w:left w:val="nil"/>
              <w:bottom w:val="single" w:color="auto" w:sz="4" w:space="0"/>
              <w:right w:val="single" w:color="auto" w:sz="4" w:space="0"/>
            </w:tcBorders>
            <w:shd w:val="clear" w:color="auto" w:fill="auto"/>
            <w:vAlign w:val="center"/>
          </w:tcPr>
          <w:p w14:paraId="3CBF35BA">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交期&amp;实施周期</w:t>
            </w:r>
          </w:p>
        </w:tc>
        <w:tc>
          <w:tcPr>
            <w:tcW w:w="7796" w:type="dxa"/>
            <w:tcBorders>
              <w:top w:val="nil"/>
              <w:left w:val="nil"/>
              <w:bottom w:val="single" w:color="auto" w:sz="4" w:space="0"/>
              <w:right w:val="single" w:color="auto" w:sz="4" w:space="0"/>
            </w:tcBorders>
            <w:shd w:val="clear" w:color="auto" w:fill="auto"/>
            <w:vAlign w:val="center"/>
          </w:tcPr>
          <w:p w14:paraId="6E2DA061">
            <w:pPr>
              <w:snapToGrid w:val="0"/>
              <w:spacing w:line="360" w:lineRule="auto"/>
              <w:rPr>
                <w:rFonts w:hint="eastAsia" w:ascii="宋体" w:hAnsi="宋体" w:eastAsia="宋体" w:cs="宋体"/>
                <w:sz w:val="21"/>
                <w:szCs w:val="21"/>
              </w:rPr>
            </w:pPr>
            <w:r>
              <w:rPr>
                <w:rFonts w:hint="eastAsia" w:ascii="宋体" w:hAnsi="宋体" w:eastAsia="宋体" w:cs="宋体"/>
                <w:color w:val="000000"/>
                <w:sz w:val="21"/>
                <w:szCs w:val="21"/>
                <w:lang w:bidi="ar"/>
              </w:rPr>
              <w:t>预计202</w:t>
            </w:r>
            <w:r>
              <w:rPr>
                <w:rFonts w:hint="eastAsia" w:ascii="宋体" w:hAnsi="宋体" w:eastAsia="宋体" w:cs="宋体"/>
                <w:color w:val="000000"/>
                <w:sz w:val="21"/>
                <w:szCs w:val="21"/>
                <w:lang w:val="en-US" w:eastAsia="zh-CN" w:bidi="ar"/>
              </w:rPr>
              <w:t>6</w:t>
            </w:r>
            <w:r>
              <w:rPr>
                <w:rFonts w:hint="eastAsia" w:ascii="宋体" w:hAnsi="宋体" w:eastAsia="宋体" w:cs="宋体"/>
                <w:color w:val="000000"/>
                <w:sz w:val="21"/>
                <w:szCs w:val="21"/>
                <w:lang w:bidi="ar"/>
              </w:rPr>
              <w:t>年</w:t>
            </w:r>
            <w:r>
              <w:rPr>
                <w:rFonts w:hint="eastAsia" w:ascii="宋体" w:hAnsi="宋体" w:eastAsia="宋体" w:cs="宋体"/>
                <w:color w:val="000000"/>
                <w:sz w:val="21"/>
                <w:szCs w:val="21"/>
                <w:lang w:val="en-US" w:eastAsia="zh-CN" w:bidi="ar"/>
              </w:rPr>
              <w:t>01</w:t>
            </w:r>
            <w:r>
              <w:rPr>
                <w:rFonts w:hint="eastAsia" w:ascii="宋体" w:hAnsi="宋体" w:eastAsia="宋体" w:cs="宋体"/>
                <w:color w:val="000000"/>
                <w:sz w:val="21"/>
                <w:szCs w:val="21"/>
                <w:lang w:bidi="ar"/>
              </w:rPr>
              <w:t>月---202</w:t>
            </w:r>
            <w:r>
              <w:rPr>
                <w:rFonts w:hint="eastAsia" w:ascii="宋体" w:hAnsi="宋体" w:eastAsia="宋体" w:cs="宋体"/>
                <w:color w:val="000000"/>
                <w:sz w:val="21"/>
                <w:szCs w:val="21"/>
                <w:lang w:val="en-US" w:eastAsia="zh-CN" w:bidi="ar"/>
              </w:rPr>
              <w:t>7</w:t>
            </w:r>
            <w:r>
              <w:rPr>
                <w:rFonts w:hint="eastAsia" w:ascii="宋体" w:hAnsi="宋体" w:eastAsia="宋体" w:cs="宋体"/>
                <w:color w:val="000000"/>
                <w:sz w:val="21"/>
                <w:szCs w:val="21"/>
                <w:lang w:bidi="ar"/>
              </w:rPr>
              <w:t>年 12月，实际实施周期招标人有权根据项目进展情况调整。</w:t>
            </w:r>
          </w:p>
        </w:tc>
      </w:tr>
      <w:tr w14:paraId="0BC0E320">
        <w:tblPrEx>
          <w:tblCellMar>
            <w:top w:w="0" w:type="dxa"/>
            <w:left w:w="108" w:type="dxa"/>
            <w:bottom w:w="0" w:type="dxa"/>
            <w:right w:w="108" w:type="dxa"/>
          </w:tblCellMar>
        </w:tblPrEx>
        <w:trPr>
          <w:trHeight w:val="1524"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0950584">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134" w:type="dxa"/>
            <w:tcBorders>
              <w:top w:val="nil"/>
              <w:left w:val="nil"/>
              <w:bottom w:val="single" w:color="auto" w:sz="4" w:space="0"/>
              <w:right w:val="single" w:color="auto" w:sz="4" w:space="0"/>
            </w:tcBorders>
            <w:shd w:val="clear" w:color="auto" w:fill="auto"/>
            <w:vAlign w:val="center"/>
          </w:tcPr>
          <w:p w14:paraId="230AB8C4">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付款方式</w:t>
            </w:r>
          </w:p>
        </w:tc>
        <w:tc>
          <w:tcPr>
            <w:tcW w:w="7796" w:type="dxa"/>
            <w:tcBorders>
              <w:top w:val="nil"/>
              <w:left w:val="nil"/>
              <w:bottom w:val="single" w:color="auto" w:sz="4" w:space="0"/>
              <w:right w:val="single" w:color="auto" w:sz="4" w:space="0"/>
            </w:tcBorders>
            <w:shd w:val="clear" w:color="auto" w:fill="auto"/>
            <w:vAlign w:val="center"/>
          </w:tcPr>
          <w:p w14:paraId="0268684E">
            <w:pPr>
              <w:snapToGrid w:val="0"/>
              <w:spacing w:line="360" w:lineRule="auto"/>
              <w:rPr>
                <w:rFonts w:hint="eastAsia" w:ascii="宋体" w:hAnsi="宋体" w:eastAsia="宋体" w:cs="宋体"/>
                <w:color w:val="000000"/>
                <w:sz w:val="21"/>
                <w:szCs w:val="21"/>
                <w:lang w:val="en-US" w:eastAsia="zh-CN"/>
              </w:rPr>
            </w:pPr>
            <w:r>
              <w:rPr>
                <w:rFonts w:hint="eastAsia" w:ascii="宋体" w:hAnsi="宋体" w:eastAsia="宋体" w:cs="宋体"/>
                <w:sz w:val="21"/>
                <w:szCs w:val="21"/>
              </w:rPr>
              <w:t>全部银行承兑汇票（不超过6个月），币别为人民币；</w:t>
            </w:r>
            <w:r>
              <w:rPr>
                <w:rFonts w:hint="eastAsia" w:ascii="宋体" w:hAnsi="宋体" w:eastAsia="宋体" w:cs="宋体"/>
                <w:sz w:val="21"/>
                <w:szCs w:val="21"/>
                <w:lang w:val="en-US" w:eastAsia="zh-CN"/>
              </w:rPr>
              <w:t>服务合同有效期内</w:t>
            </w:r>
            <w:r>
              <w:rPr>
                <w:rFonts w:hint="eastAsia" w:ascii="宋体" w:hAnsi="宋体" w:eastAsia="宋体" w:cs="宋体"/>
                <w:sz w:val="21"/>
                <w:szCs w:val="21"/>
              </w:rPr>
              <w:t>当月出具结算清单，次月开票，开票后 30 天内支付运输费用。</w:t>
            </w:r>
            <w:r>
              <w:rPr>
                <w:rFonts w:hint="eastAsia" w:ascii="宋体" w:hAnsi="宋体" w:eastAsia="宋体" w:cs="宋体"/>
                <w:sz w:val="21"/>
                <w:szCs w:val="21"/>
                <w:lang w:val="en-US" w:eastAsia="zh-CN"/>
              </w:rPr>
              <w:t>(</w:t>
            </w:r>
            <w:r>
              <w:rPr>
                <w:rFonts w:hint="eastAsia" w:ascii="宋体" w:hAnsi="宋体" w:eastAsia="宋体" w:cs="宋体"/>
                <w:sz w:val="21"/>
                <w:szCs w:val="21"/>
              </w:rPr>
              <w:t>若只能接受电汇，</w:t>
            </w:r>
            <w:r>
              <w:rPr>
                <w:rFonts w:hint="eastAsia" w:ascii="宋体" w:hAnsi="宋体" w:eastAsia="宋体" w:cs="宋体"/>
                <w:sz w:val="21"/>
                <w:szCs w:val="21"/>
                <w:lang w:val="en-US" w:eastAsia="zh-CN"/>
              </w:rPr>
              <w:t>结算金额须</w:t>
            </w:r>
            <w:r>
              <w:rPr>
                <w:rFonts w:hint="eastAsia" w:ascii="宋体" w:hAnsi="宋体" w:eastAsia="宋体" w:cs="宋体"/>
                <w:sz w:val="21"/>
                <w:szCs w:val="21"/>
              </w:rPr>
              <w:t>按中标价下降3%结算。</w:t>
            </w:r>
            <w:r>
              <w:rPr>
                <w:rFonts w:hint="eastAsia" w:ascii="宋体" w:hAnsi="宋体" w:eastAsia="宋体" w:cs="宋体"/>
                <w:sz w:val="21"/>
                <w:szCs w:val="21"/>
                <w:lang w:val="en-US" w:eastAsia="zh-CN"/>
              </w:rPr>
              <w:t>)</w:t>
            </w:r>
          </w:p>
        </w:tc>
      </w:tr>
      <w:tr w14:paraId="408ABC8D">
        <w:tblPrEx>
          <w:tblCellMar>
            <w:top w:w="0" w:type="dxa"/>
            <w:left w:w="108" w:type="dxa"/>
            <w:bottom w:w="0" w:type="dxa"/>
            <w:right w:w="108" w:type="dxa"/>
          </w:tblCellMar>
        </w:tblPrEx>
        <w:trPr>
          <w:trHeight w:val="28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39D4954">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134" w:type="dxa"/>
            <w:tcBorders>
              <w:top w:val="nil"/>
              <w:left w:val="nil"/>
              <w:bottom w:val="single" w:color="auto" w:sz="4" w:space="0"/>
              <w:right w:val="single" w:color="auto" w:sz="4" w:space="0"/>
            </w:tcBorders>
            <w:shd w:val="clear" w:color="auto" w:fill="auto"/>
            <w:vAlign w:val="center"/>
          </w:tcPr>
          <w:p w14:paraId="6B990F74">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竞标有效期</w:t>
            </w:r>
          </w:p>
        </w:tc>
        <w:tc>
          <w:tcPr>
            <w:tcW w:w="7796" w:type="dxa"/>
            <w:tcBorders>
              <w:top w:val="nil"/>
              <w:left w:val="nil"/>
              <w:bottom w:val="single" w:color="auto" w:sz="4" w:space="0"/>
              <w:right w:val="single" w:color="auto" w:sz="4" w:space="0"/>
            </w:tcBorders>
            <w:shd w:val="clear" w:color="auto" w:fill="auto"/>
            <w:vAlign w:val="center"/>
          </w:tcPr>
          <w:p w14:paraId="4C04B471">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为30日历天（从竞标截止之日算起）</w:t>
            </w:r>
          </w:p>
        </w:tc>
      </w:tr>
      <w:tr w14:paraId="727EFA48">
        <w:tblPrEx>
          <w:tblCellMar>
            <w:top w:w="0" w:type="dxa"/>
            <w:left w:w="108" w:type="dxa"/>
            <w:bottom w:w="0" w:type="dxa"/>
            <w:right w:w="108" w:type="dxa"/>
          </w:tblCellMar>
        </w:tblPrEx>
        <w:trPr>
          <w:trHeight w:val="57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58260CE">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134" w:type="dxa"/>
            <w:tcBorders>
              <w:top w:val="nil"/>
              <w:left w:val="nil"/>
              <w:bottom w:val="single" w:color="auto" w:sz="4" w:space="0"/>
              <w:right w:val="single" w:color="auto" w:sz="4" w:space="0"/>
            </w:tcBorders>
            <w:shd w:val="clear" w:color="auto" w:fill="auto"/>
            <w:vAlign w:val="center"/>
          </w:tcPr>
          <w:p w14:paraId="75FC12F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594B204D">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承包方式为全过程承包，运输相关工作均由承包人完成。合同费用计价方式为固定单价，合同总价根据实际发生业务结算。</w:t>
            </w:r>
          </w:p>
        </w:tc>
      </w:tr>
      <w:tr w14:paraId="4EEEF497">
        <w:tblPrEx>
          <w:tblCellMar>
            <w:top w:w="0" w:type="dxa"/>
            <w:left w:w="108" w:type="dxa"/>
            <w:bottom w:w="0" w:type="dxa"/>
            <w:right w:w="108" w:type="dxa"/>
          </w:tblCellMar>
        </w:tblPrEx>
        <w:trPr>
          <w:trHeight w:val="57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446D01D">
            <w:pPr>
              <w:snapToGrid w:val="0"/>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134" w:type="dxa"/>
            <w:tcBorders>
              <w:top w:val="nil"/>
              <w:left w:val="nil"/>
              <w:bottom w:val="single" w:color="auto" w:sz="4" w:space="0"/>
              <w:right w:val="single" w:color="auto" w:sz="4" w:space="0"/>
            </w:tcBorders>
            <w:shd w:val="clear" w:color="auto" w:fill="auto"/>
            <w:vAlign w:val="center"/>
          </w:tcPr>
          <w:p w14:paraId="3DA55582">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定</w:t>
            </w:r>
            <w:r>
              <w:rPr>
                <w:rFonts w:hint="eastAsia" w:ascii="宋体" w:hAnsi="宋体" w:eastAsia="宋体" w:cs="宋体"/>
                <w:sz w:val="21"/>
                <w:szCs w:val="21"/>
              </w:rPr>
              <w:t>标原则</w:t>
            </w:r>
          </w:p>
        </w:tc>
        <w:tc>
          <w:tcPr>
            <w:tcW w:w="7796" w:type="dxa"/>
            <w:tcBorders>
              <w:top w:val="nil"/>
              <w:left w:val="nil"/>
              <w:bottom w:val="single" w:color="auto" w:sz="4" w:space="0"/>
              <w:right w:val="single" w:color="auto" w:sz="4" w:space="0"/>
            </w:tcBorders>
            <w:shd w:val="clear" w:color="auto" w:fill="auto"/>
            <w:vAlign w:val="center"/>
          </w:tcPr>
          <w:p w14:paraId="597FB373">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投标人在满足招标文件所有要求的前提下，评标委员会综合</w:t>
            </w:r>
            <w:r>
              <w:rPr>
                <w:rFonts w:hint="eastAsia" w:ascii="宋体" w:hAnsi="宋体" w:eastAsia="宋体" w:cs="宋体"/>
                <w:sz w:val="21"/>
                <w:szCs w:val="21"/>
                <w:lang w:val="en-US" w:eastAsia="zh-CN"/>
              </w:rPr>
              <w:t>供应商综合实力及对招标文件的响应情况</w:t>
            </w:r>
            <w:r>
              <w:rPr>
                <w:rFonts w:hint="eastAsia" w:ascii="宋体" w:hAnsi="宋体" w:eastAsia="宋体" w:cs="宋体"/>
                <w:sz w:val="21"/>
                <w:szCs w:val="21"/>
              </w:rPr>
              <w:t>，</w:t>
            </w:r>
            <w:r>
              <w:rPr>
                <w:rFonts w:hint="eastAsia" w:ascii="宋体" w:hAnsi="宋体" w:eastAsia="宋体" w:cs="宋体"/>
                <w:sz w:val="21"/>
                <w:szCs w:val="21"/>
                <w:lang w:val="en-US" w:eastAsia="zh-CN"/>
              </w:rPr>
              <w:t>选取4家入围供应商签订框架协议，实际根据具体线路计划部组织单独比价。如果后期有供应商退出/合作后不满足要求，再行根据排名引入补齐。</w:t>
            </w:r>
          </w:p>
        </w:tc>
      </w:tr>
      <w:tr w14:paraId="0217F42E">
        <w:tblPrEx>
          <w:tblCellMar>
            <w:top w:w="0" w:type="dxa"/>
            <w:left w:w="108" w:type="dxa"/>
            <w:bottom w:w="0" w:type="dxa"/>
            <w:right w:w="108" w:type="dxa"/>
          </w:tblCellMar>
        </w:tblPrEx>
        <w:trPr>
          <w:trHeight w:val="28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98079DE">
            <w:pPr>
              <w:snapToGrid w:val="0"/>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1134" w:type="dxa"/>
            <w:tcBorders>
              <w:top w:val="nil"/>
              <w:left w:val="nil"/>
              <w:bottom w:val="single" w:color="auto" w:sz="4" w:space="0"/>
              <w:right w:val="single" w:color="auto" w:sz="4" w:space="0"/>
            </w:tcBorders>
            <w:shd w:val="clear" w:color="auto" w:fill="auto"/>
            <w:vAlign w:val="center"/>
          </w:tcPr>
          <w:p w14:paraId="6CE26216">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联合体竞标</w:t>
            </w:r>
          </w:p>
        </w:tc>
        <w:tc>
          <w:tcPr>
            <w:tcW w:w="7796" w:type="dxa"/>
            <w:tcBorders>
              <w:top w:val="nil"/>
              <w:left w:val="nil"/>
              <w:bottom w:val="single" w:color="auto" w:sz="4" w:space="0"/>
              <w:right w:val="single" w:color="auto" w:sz="4" w:space="0"/>
            </w:tcBorders>
            <w:shd w:val="clear" w:color="auto" w:fill="auto"/>
            <w:vAlign w:val="center"/>
          </w:tcPr>
          <w:p w14:paraId="5B839AB2">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不接受</w:t>
            </w:r>
          </w:p>
        </w:tc>
      </w:tr>
      <w:tr w14:paraId="1BD18EB7">
        <w:tblPrEx>
          <w:tblCellMar>
            <w:top w:w="0" w:type="dxa"/>
            <w:left w:w="108" w:type="dxa"/>
            <w:bottom w:w="0" w:type="dxa"/>
            <w:right w:w="108" w:type="dxa"/>
          </w:tblCellMar>
        </w:tblPrEx>
        <w:trPr>
          <w:trHeight w:val="57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D1A4156">
            <w:pPr>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134" w:type="dxa"/>
            <w:tcBorders>
              <w:top w:val="nil"/>
              <w:left w:val="nil"/>
              <w:bottom w:val="single" w:color="auto" w:sz="4" w:space="0"/>
              <w:right w:val="single" w:color="auto" w:sz="4" w:space="0"/>
            </w:tcBorders>
            <w:shd w:val="clear" w:color="auto" w:fill="auto"/>
            <w:vAlign w:val="center"/>
          </w:tcPr>
          <w:p w14:paraId="25D5496C">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分标</w:t>
            </w:r>
          </w:p>
        </w:tc>
        <w:tc>
          <w:tcPr>
            <w:tcW w:w="7796" w:type="dxa"/>
            <w:tcBorders>
              <w:top w:val="nil"/>
              <w:left w:val="nil"/>
              <w:bottom w:val="single" w:color="auto" w:sz="4" w:space="0"/>
              <w:right w:val="single" w:color="auto" w:sz="4" w:space="0"/>
            </w:tcBorders>
            <w:shd w:val="clear" w:color="auto" w:fill="auto"/>
            <w:vAlign w:val="center"/>
          </w:tcPr>
          <w:p w14:paraId="1BC402CD">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招标人有权对招标项目进行分标，竞标人应就分标和总标分别报价。</w:t>
            </w:r>
          </w:p>
        </w:tc>
      </w:tr>
      <w:tr w14:paraId="5CA0A3E0">
        <w:tblPrEx>
          <w:tblCellMar>
            <w:top w:w="0" w:type="dxa"/>
            <w:left w:w="108" w:type="dxa"/>
            <w:bottom w:w="0" w:type="dxa"/>
            <w:right w:w="108" w:type="dxa"/>
          </w:tblCellMar>
        </w:tblPrEx>
        <w:trPr>
          <w:trHeight w:val="28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8798A41">
            <w:pPr>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134" w:type="dxa"/>
            <w:tcBorders>
              <w:top w:val="nil"/>
              <w:left w:val="nil"/>
              <w:bottom w:val="single" w:color="auto" w:sz="4" w:space="0"/>
              <w:right w:val="single" w:color="auto" w:sz="4" w:space="0"/>
            </w:tcBorders>
            <w:shd w:val="clear" w:color="auto" w:fill="auto"/>
            <w:vAlign w:val="center"/>
          </w:tcPr>
          <w:p w14:paraId="5FC480FC">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*分包、转包</w:t>
            </w:r>
          </w:p>
        </w:tc>
        <w:tc>
          <w:tcPr>
            <w:tcW w:w="7796" w:type="dxa"/>
            <w:tcBorders>
              <w:top w:val="nil"/>
              <w:left w:val="nil"/>
              <w:bottom w:val="single" w:color="auto" w:sz="4" w:space="0"/>
              <w:right w:val="single" w:color="auto" w:sz="4" w:space="0"/>
            </w:tcBorders>
            <w:shd w:val="clear" w:color="auto" w:fill="auto"/>
            <w:vAlign w:val="center"/>
          </w:tcPr>
          <w:p w14:paraId="31756DC8">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严禁转包。未经招标人书面同意，中标人不得变更项目经理、项目主要承办人员。法律规定可分包部分的，经招标人书面同意后可进行分包，除此之外，中标人不得进行任何形式的分包</w:t>
            </w:r>
            <w:r>
              <w:rPr>
                <w:rFonts w:hint="eastAsia" w:ascii="宋体" w:hAnsi="宋体" w:eastAsia="宋体" w:cs="宋体"/>
                <w:color w:val="000000"/>
                <w:sz w:val="21"/>
                <w:szCs w:val="21"/>
                <w:lang w:val="en-US" w:eastAsia="zh-CN"/>
              </w:rPr>
              <w:t>或转包</w:t>
            </w:r>
            <w:r>
              <w:rPr>
                <w:rFonts w:hint="eastAsia" w:ascii="宋体" w:hAnsi="宋体" w:eastAsia="宋体" w:cs="宋体"/>
                <w:color w:val="000000"/>
                <w:sz w:val="21"/>
                <w:szCs w:val="21"/>
              </w:rPr>
              <w:t>。</w:t>
            </w:r>
          </w:p>
        </w:tc>
      </w:tr>
      <w:tr w14:paraId="6E739EB4">
        <w:tblPrEx>
          <w:tblCellMar>
            <w:top w:w="0" w:type="dxa"/>
            <w:left w:w="108" w:type="dxa"/>
            <w:bottom w:w="0" w:type="dxa"/>
            <w:right w:w="108" w:type="dxa"/>
          </w:tblCellMar>
        </w:tblPrEx>
        <w:trPr>
          <w:trHeight w:val="983"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DA69243">
            <w:pPr>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134" w:type="dxa"/>
            <w:tcBorders>
              <w:top w:val="nil"/>
              <w:left w:val="nil"/>
              <w:bottom w:val="single" w:color="auto" w:sz="4" w:space="0"/>
              <w:right w:val="single" w:color="auto" w:sz="4" w:space="0"/>
            </w:tcBorders>
            <w:shd w:val="clear" w:color="auto" w:fill="auto"/>
            <w:vAlign w:val="center"/>
          </w:tcPr>
          <w:p w14:paraId="348987AF">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标书</w:t>
            </w:r>
            <w:r>
              <w:rPr>
                <w:rFonts w:hint="eastAsia" w:ascii="宋体" w:hAnsi="宋体" w:eastAsia="宋体" w:cs="宋体"/>
                <w:color w:val="000000"/>
                <w:sz w:val="21"/>
                <w:szCs w:val="21"/>
              </w:rPr>
              <w:t>要求</w:t>
            </w:r>
          </w:p>
        </w:tc>
        <w:tc>
          <w:tcPr>
            <w:tcW w:w="7796" w:type="dxa"/>
            <w:tcBorders>
              <w:top w:val="nil"/>
              <w:left w:val="nil"/>
              <w:bottom w:val="single" w:color="auto" w:sz="4" w:space="0"/>
              <w:right w:val="single" w:color="auto" w:sz="4" w:space="0"/>
            </w:tcBorders>
            <w:shd w:val="clear" w:color="auto" w:fill="auto"/>
            <w:vAlign w:val="center"/>
          </w:tcPr>
          <w:p w14:paraId="1447E7A4">
            <w:pPr>
              <w:snapToGrid w:val="0"/>
              <w:spacing w:line="360" w:lineRule="auto"/>
              <w:rPr>
                <w:rFonts w:hint="eastAsia" w:ascii="宋体" w:hAnsi="宋体" w:eastAsia="宋体" w:cs="宋体"/>
                <w:color w:val="000000"/>
                <w:sz w:val="21"/>
                <w:szCs w:val="21"/>
              </w:rPr>
            </w:pPr>
            <w:r>
              <w:rPr>
                <w:rFonts w:hint="eastAsia" w:ascii="宋体" w:hAnsi="宋体" w:eastAsia="宋体" w:cs="宋体"/>
                <w:b/>
                <w:color w:val="000000"/>
                <w:sz w:val="21"/>
                <w:szCs w:val="21"/>
              </w:rPr>
              <w:t>电子档一份</w:t>
            </w:r>
            <w:r>
              <w:rPr>
                <w:rFonts w:hint="eastAsia" w:ascii="宋体" w:hAnsi="宋体" w:eastAsia="宋体" w:cs="宋体"/>
                <w:b/>
                <w:color w:val="000000"/>
                <w:sz w:val="21"/>
                <w:szCs w:val="21"/>
                <w:lang w:eastAsia="zh-CN"/>
              </w:rPr>
              <w:t>，</w:t>
            </w:r>
            <w:r>
              <w:rPr>
                <w:rFonts w:hint="eastAsia" w:ascii="宋体" w:hAnsi="宋体" w:eastAsia="宋体" w:cs="宋体"/>
                <w:b/>
                <w:color w:val="000000"/>
                <w:sz w:val="21"/>
                <w:szCs w:val="21"/>
                <w:lang w:val="en-US" w:eastAsia="zh-CN"/>
              </w:rPr>
              <w:t>需要电子扫描件</w:t>
            </w:r>
            <w:r>
              <w:rPr>
                <w:rFonts w:hint="eastAsia" w:ascii="宋体" w:hAnsi="宋体" w:eastAsia="宋体" w:cs="宋体"/>
                <w:color w:val="000000"/>
                <w:sz w:val="21"/>
                <w:szCs w:val="21"/>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6A2EB09A">
        <w:tblPrEx>
          <w:tblCellMar>
            <w:top w:w="0" w:type="dxa"/>
            <w:left w:w="108" w:type="dxa"/>
            <w:bottom w:w="0" w:type="dxa"/>
            <w:right w:w="108" w:type="dxa"/>
          </w:tblCellMar>
        </w:tblPrEx>
        <w:trPr>
          <w:trHeight w:val="240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7D8818B">
            <w:pPr>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134" w:type="dxa"/>
            <w:tcBorders>
              <w:top w:val="nil"/>
              <w:left w:val="nil"/>
              <w:bottom w:val="single" w:color="auto" w:sz="4" w:space="0"/>
              <w:right w:val="single" w:color="auto" w:sz="4" w:space="0"/>
            </w:tcBorders>
            <w:shd w:val="clear" w:color="auto" w:fill="auto"/>
            <w:vAlign w:val="center"/>
          </w:tcPr>
          <w:p w14:paraId="3908415D">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*履约保证措施</w:t>
            </w:r>
          </w:p>
        </w:tc>
        <w:tc>
          <w:tcPr>
            <w:tcW w:w="7796" w:type="dxa"/>
            <w:tcBorders>
              <w:top w:val="nil"/>
              <w:left w:val="nil"/>
              <w:bottom w:val="single" w:color="auto" w:sz="4" w:space="0"/>
              <w:right w:val="single" w:color="auto" w:sz="4" w:space="0"/>
            </w:tcBorders>
            <w:shd w:val="clear" w:color="auto" w:fill="auto"/>
            <w:vAlign w:val="center"/>
          </w:tcPr>
          <w:p w14:paraId="047B07BA">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为保证合同正常履约，竞标人应提供必要的保障措施（保障措施可采用履约保证金或见索即付银行保函，具体金额及方式由招标方决定或现场谈判为准）。</w:t>
            </w:r>
          </w:p>
          <w:p w14:paraId="2C47B736">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1.履约保证金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叁</w:t>
            </w:r>
            <w:r>
              <w:rPr>
                <w:rFonts w:hint="eastAsia" w:ascii="宋体" w:hAnsi="宋体" w:eastAsia="宋体" w:cs="宋体"/>
                <w:color w:val="000000"/>
                <w:sz w:val="21"/>
                <w:szCs w:val="21"/>
              </w:rPr>
              <w:t>拾万元，中标供应商</w:t>
            </w:r>
            <w:r>
              <w:rPr>
                <w:rFonts w:hint="eastAsia" w:ascii="宋体" w:hAnsi="宋体" w:eastAsia="宋体" w:cs="宋体"/>
                <w:color w:val="000000"/>
                <w:sz w:val="21"/>
                <w:szCs w:val="21"/>
                <w:lang w:val="en-US" w:eastAsia="zh-CN"/>
              </w:rPr>
              <w:t>收到我司发出的《中标通知书》三日内</w:t>
            </w:r>
            <w:r>
              <w:rPr>
                <w:rFonts w:hint="eastAsia" w:ascii="宋体" w:hAnsi="宋体" w:eastAsia="宋体" w:cs="宋体"/>
                <w:color w:val="000000"/>
                <w:sz w:val="21"/>
                <w:szCs w:val="21"/>
              </w:rPr>
              <w:t>缴纳履约保证金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逾期未支付视为放弃中标权</w:t>
            </w:r>
            <w:r>
              <w:rPr>
                <w:rFonts w:hint="eastAsia" w:ascii="宋体" w:hAnsi="宋体" w:eastAsia="宋体" w:cs="宋体"/>
                <w:color w:val="000000"/>
                <w:sz w:val="21"/>
                <w:szCs w:val="21"/>
              </w:rPr>
              <w:t>；</w:t>
            </w:r>
          </w:p>
          <w:p w14:paraId="78270784">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2.履约保证金退还时间为投标人合同权利义务履行完毕后30天内退还。</w:t>
            </w:r>
          </w:p>
          <w:p w14:paraId="0B8E5E94">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3.履约保证金递交方式：电汇或银行转账（备注</w:t>
            </w:r>
            <w:r>
              <w:rPr>
                <w:rFonts w:hint="eastAsia" w:ascii="宋体" w:hAnsi="宋体" w:eastAsia="宋体" w:cs="宋体"/>
                <w:color w:val="000000"/>
                <w:sz w:val="21"/>
                <w:szCs w:val="21"/>
                <w:lang w:val="en-US" w:eastAsia="zh-CN"/>
              </w:rPr>
              <w:t>履约</w:t>
            </w:r>
            <w:r>
              <w:rPr>
                <w:rFonts w:hint="eastAsia" w:ascii="宋体" w:hAnsi="宋体" w:eastAsia="宋体" w:cs="宋体"/>
                <w:color w:val="000000"/>
                <w:sz w:val="21"/>
                <w:szCs w:val="21"/>
              </w:rPr>
              <w:t>保证金+项目名称）</w:t>
            </w:r>
          </w:p>
          <w:p w14:paraId="65FEF1F3">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1.国内账户信息：</w:t>
            </w:r>
          </w:p>
          <w:p w14:paraId="3795A033">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1.1户名：眉山琏升光伏科技有限公司</w:t>
            </w:r>
          </w:p>
          <w:p w14:paraId="27491436">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账号：22412701040015245</w:t>
            </w:r>
          </w:p>
          <w:p w14:paraId="2137B8FF">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开户银行：中国农业银行股份有限公司丹棱支行 </w:t>
            </w:r>
          </w:p>
        </w:tc>
      </w:tr>
      <w:tr w14:paraId="77D9B7D0">
        <w:tblPrEx>
          <w:tblCellMar>
            <w:top w:w="0" w:type="dxa"/>
            <w:left w:w="108" w:type="dxa"/>
            <w:bottom w:w="0" w:type="dxa"/>
            <w:right w:w="108" w:type="dxa"/>
          </w:tblCellMar>
        </w:tblPrEx>
        <w:trPr>
          <w:trHeight w:val="274"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1845641">
            <w:pPr>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1134" w:type="dxa"/>
            <w:tcBorders>
              <w:top w:val="nil"/>
              <w:left w:val="nil"/>
              <w:bottom w:val="single" w:color="auto" w:sz="4" w:space="0"/>
              <w:right w:val="single" w:color="auto" w:sz="4" w:space="0"/>
            </w:tcBorders>
            <w:shd w:val="clear" w:color="auto" w:fill="auto"/>
            <w:vAlign w:val="center"/>
          </w:tcPr>
          <w:p w14:paraId="4DD34616">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*知识产权保障</w:t>
            </w:r>
          </w:p>
        </w:tc>
        <w:tc>
          <w:tcPr>
            <w:tcW w:w="7796" w:type="dxa"/>
            <w:tcBorders>
              <w:top w:val="nil"/>
              <w:left w:val="nil"/>
              <w:bottom w:val="single" w:color="auto" w:sz="4" w:space="0"/>
              <w:right w:val="single" w:color="auto" w:sz="4" w:space="0"/>
            </w:tcBorders>
            <w:shd w:val="clear" w:color="auto" w:fill="auto"/>
            <w:vAlign w:val="center"/>
          </w:tcPr>
          <w:p w14:paraId="40DA26EF">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竞标方向招标方提供的产品或服务在全球范围内没有侵害任何第三方的知识产权（包括但不限于专利、商标、版权或其他知识产权）。如果竞标方提供的产品或服务由于竞标方存在侵权或潜在侵权行为，其带来的所有法律责任及经济损失，由竞标方负责。</w:t>
            </w:r>
          </w:p>
          <w:p w14:paraId="71582221">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4074098B">
        <w:tblPrEx>
          <w:tblCellMar>
            <w:top w:w="0" w:type="dxa"/>
            <w:left w:w="108" w:type="dxa"/>
            <w:bottom w:w="0" w:type="dxa"/>
            <w:right w:w="108" w:type="dxa"/>
          </w:tblCellMar>
        </w:tblPrEx>
        <w:trPr>
          <w:trHeight w:val="1140"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22340C4">
            <w:pPr>
              <w:snapToGrid w:val="0"/>
              <w:spacing w:line="36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1134" w:type="dxa"/>
            <w:tcBorders>
              <w:top w:val="single" w:color="auto" w:sz="4" w:space="0"/>
              <w:left w:val="nil"/>
              <w:bottom w:val="single" w:color="auto" w:sz="4" w:space="0"/>
              <w:right w:val="single" w:color="auto" w:sz="4" w:space="0"/>
            </w:tcBorders>
            <w:shd w:val="clear" w:color="auto" w:fill="auto"/>
            <w:vAlign w:val="center"/>
          </w:tcPr>
          <w:p w14:paraId="551C938F">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414B6DCD">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特别说明：</w:t>
            </w:r>
          </w:p>
          <w:p w14:paraId="4459FB93">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1、本招标须知表中内容与招标文件其他地方不一致或相矛盾时，以本须知表为准。</w:t>
            </w:r>
          </w:p>
          <w:p w14:paraId="52AA459C">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当补遗文件或澄清说明文件与招标文件对应内容不一致时，以最新的文件为准。3、竞争性谈判文件中的实质性要求和条件及招标文件带*号条款不允许负偏差。出现负偏差的视为重大偏差，评标委员会在评审时有权作否决投标处理。</w:t>
            </w:r>
          </w:p>
          <w:p w14:paraId="232E54AE">
            <w:pPr>
              <w:snapToGrid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4、投标文件对招标文件的全部偏差，均应在投标文件的商务和技术偏离表中列明，除列明内容外，视为竞标人全部响应竞争性谈判文件的全部要求。</w:t>
            </w:r>
          </w:p>
        </w:tc>
      </w:tr>
    </w:tbl>
    <w:p w14:paraId="2942F582">
      <w:pPr>
        <w:pStyle w:val="68"/>
        <w:snapToGrid w:val="0"/>
        <w:ind w:firstLine="0" w:firstLineChars="0"/>
        <w:rPr>
          <w:rFonts w:hint="eastAsia" w:ascii="宋体" w:hAnsi="宋体" w:eastAsia="宋体" w:cs="宋体"/>
          <w:sz w:val="21"/>
          <w:szCs w:val="21"/>
        </w:rPr>
      </w:pPr>
      <w:r>
        <w:rPr>
          <w:rFonts w:hint="eastAsia" w:ascii="宋体" w:hAnsi="宋体" w:eastAsia="宋体" w:cs="宋体"/>
          <w:sz w:val="21"/>
          <w:szCs w:val="21"/>
        </w:rPr>
        <w:t>*2、竞标资格</w:t>
      </w:r>
    </w:p>
    <w:p w14:paraId="40274154">
      <w:pPr>
        <w:shd w:val="clear" w:color="auto" w:fill="FFFFFF"/>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2.1 投标资格</w:t>
      </w:r>
    </w:p>
    <w:p w14:paraId="0CBFB661">
      <w:pPr>
        <w:shd w:val="clear" w:color="auto" w:fill="FFFFFF"/>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2.1.1投标人必须是具有合法资格、合法工商注册的单位（经总公司授权后的分公司也可作为投标主体进行投标），具有独立签订合同的权利；</w:t>
      </w:r>
    </w:p>
    <w:p w14:paraId="7A8FE0B7">
      <w:pPr>
        <w:shd w:val="clear" w:color="auto" w:fill="FFFFFF"/>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2.1.2 投标人资质要求：</w:t>
      </w:r>
    </w:p>
    <w:p w14:paraId="20469442">
      <w:pPr>
        <w:shd w:val="clear" w:color="auto" w:fill="FFFFFF"/>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1）投标人注册资本500万元以上（含500万元），注册时间</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年以上；</w:t>
      </w:r>
    </w:p>
    <w:p w14:paraId="31A8169F">
      <w:pPr>
        <w:shd w:val="clear" w:color="auto" w:fill="FFFFFF"/>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投标人作为运输供应商必须是专业的物流企业，</w:t>
      </w:r>
      <w:r>
        <w:rPr>
          <w:rFonts w:hint="eastAsia" w:ascii="宋体" w:hAnsi="宋体" w:eastAsia="宋体" w:cs="宋体"/>
          <w:bCs/>
          <w:szCs w:val="21"/>
          <w:lang w:val="en-US" w:eastAsia="zh-CN"/>
        </w:rPr>
        <w:t>具有</w:t>
      </w:r>
      <w:r>
        <w:rPr>
          <w:rFonts w:hint="eastAsia" w:ascii="宋体" w:hAnsi="宋体" w:eastAsia="宋体" w:cs="宋体"/>
          <w:bCs/>
          <w:szCs w:val="21"/>
        </w:rPr>
        <w:t>具有</w:t>
      </w:r>
      <w:r>
        <w:rPr>
          <w:rFonts w:hint="eastAsia" w:ascii="宋体" w:hAnsi="宋体" w:eastAsia="宋体" w:cs="宋体"/>
          <w:bCs/>
          <w:szCs w:val="21"/>
          <w:lang w:val="en-US" w:eastAsia="zh-CN"/>
        </w:rPr>
        <w:t>一</w:t>
      </w:r>
      <w:r>
        <w:rPr>
          <w:rFonts w:hint="eastAsia" w:ascii="宋体" w:hAnsi="宋体" w:eastAsia="宋体" w:cs="宋体"/>
          <w:bCs/>
          <w:szCs w:val="21"/>
        </w:rPr>
        <w:t>年以上光伏行业或两年以上公路运输和配送经验，有固定的经营场所</w:t>
      </w:r>
      <w:r>
        <w:rPr>
          <w:rFonts w:hint="eastAsia" w:ascii="宋体" w:hAnsi="宋体" w:eastAsia="宋体" w:cs="宋体"/>
          <w:bCs/>
          <w:szCs w:val="21"/>
          <w:lang w:val="en-US" w:eastAsia="zh-CN"/>
        </w:rPr>
        <w:t>，并具有公路运输经营的</w:t>
      </w:r>
      <w:r>
        <w:rPr>
          <w:rFonts w:hint="eastAsia" w:ascii="宋体" w:hAnsi="宋体" w:eastAsia="宋体" w:cs="宋体"/>
          <w:color w:val="000000"/>
          <w:sz w:val="21"/>
          <w:szCs w:val="21"/>
          <w:lang w:val="en-US" w:eastAsia="zh-CN"/>
        </w:rPr>
        <w:t>相关资质证明。</w:t>
      </w:r>
    </w:p>
    <w:p w14:paraId="39F847E2">
      <w:pPr>
        <w:shd w:val="clear" w:color="auto" w:fill="FFFFFF"/>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3)投标人财务状况（附表并加盖公章）：提供202</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/202</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/202</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年度企业资产负债表、利润表等</w:t>
      </w:r>
      <w:r>
        <w:rPr>
          <w:rFonts w:hint="eastAsia" w:ascii="宋体" w:hAnsi="宋体" w:eastAsia="宋体" w:cs="宋体"/>
          <w:color w:val="000000"/>
          <w:sz w:val="21"/>
          <w:szCs w:val="21"/>
          <w:lang w:val="en-US" w:eastAsia="zh-CN"/>
        </w:rPr>
        <w:t>经审计的</w:t>
      </w:r>
      <w:r>
        <w:rPr>
          <w:rFonts w:hint="eastAsia" w:ascii="宋体" w:hAnsi="宋体" w:eastAsia="宋体" w:cs="宋体"/>
          <w:color w:val="000000"/>
          <w:sz w:val="21"/>
          <w:szCs w:val="21"/>
        </w:rPr>
        <w:t>财务报表。</w:t>
      </w:r>
    </w:p>
    <w:p w14:paraId="33A557C4">
      <w:pPr>
        <w:shd w:val="clear" w:color="auto" w:fill="FFFFFF"/>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4)投标人必须提供近一年货物运输业绩证明材料至少3个（合同等）。</w:t>
      </w:r>
    </w:p>
    <w:p w14:paraId="2FF8E4E4">
      <w:pPr>
        <w:shd w:val="clear" w:color="auto" w:fill="FFFFFF"/>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5)装货车辆必须车况良好，已向保险公司办理相关保险手续，车辆驾驶员必须保持通信畅通。</w:t>
      </w:r>
    </w:p>
    <w:p w14:paraId="71CD4C11">
      <w:pPr>
        <w:shd w:val="clear" w:color="auto" w:fill="FFFFFF"/>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6）具有抗风险能力和较强的运输控制能力。</w:t>
      </w:r>
    </w:p>
    <w:p w14:paraId="22F2FFDC">
      <w:pPr>
        <w:shd w:val="clear" w:color="auto" w:fill="FFFFFF"/>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具有相应的运输能力和必备的信息监控措施</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具</w:t>
      </w:r>
      <w:r>
        <w:rPr>
          <w:rFonts w:hint="eastAsia" w:ascii="宋体" w:hAnsi="宋体" w:eastAsia="宋体" w:cs="宋体"/>
          <w:color w:val="000000"/>
          <w:sz w:val="21"/>
          <w:szCs w:val="21"/>
        </w:rPr>
        <w:t>有完整的服务质量保证体系。</w:t>
      </w:r>
    </w:p>
    <w:p w14:paraId="263E5C09">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2.4竞标人应具有良好的商业信誉；</w:t>
      </w:r>
    </w:p>
    <w:p w14:paraId="35EEFEDB">
      <w:pPr>
        <w:pStyle w:val="66"/>
        <w:snapToGrid w:val="0"/>
        <w:ind w:firstLine="0" w:firstLineChars="0"/>
        <w:rPr>
          <w:rFonts w:hint="eastAsia" w:ascii="宋体" w:hAnsi="宋体" w:eastAsia="宋体" w:cs="宋体"/>
          <w:sz w:val="21"/>
          <w:szCs w:val="21"/>
        </w:rPr>
      </w:pPr>
      <w:r>
        <w:rPr>
          <w:rFonts w:hint="eastAsia" w:ascii="宋体" w:hAnsi="宋体" w:eastAsia="宋体" w:cs="宋体"/>
          <w:sz w:val="21"/>
          <w:szCs w:val="21"/>
        </w:rPr>
        <w:t>2.5遵守国家法律、法规，具有良好的信誉和商业道德，没有行贿受贿、走私、偷税漏税、重大安全事故及欺诈等违法犯罪或违规违纪行为；</w:t>
      </w:r>
    </w:p>
    <w:p w14:paraId="73FDA38B">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2.6具有履行合同的能力和良好的履行合同记录；</w:t>
      </w:r>
    </w:p>
    <w:p w14:paraId="2561274E">
      <w:pPr>
        <w:pStyle w:val="66"/>
        <w:snapToGrid w:val="0"/>
        <w:ind w:firstLine="0" w:firstLineChars="0"/>
        <w:rPr>
          <w:rFonts w:hint="eastAsia" w:ascii="宋体" w:hAnsi="宋体" w:eastAsia="宋体" w:cs="宋体"/>
          <w:sz w:val="21"/>
          <w:szCs w:val="21"/>
        </w:rPr>
      </w:pPr>
      <w:r>
        <w:rPr>
          <w:rFonts w:hint="eastAsia" w:ascii="宋体" w:hAnsi="宋体" w:eastAsia="宋体" w:cs="宋体"/>
          <w:sz w:val="21"/>
          <w:szCs w:val="21"/>
        </w:rPr>
        <w:t>2.7不得有串标、虚假陈述、伪造变造文件等欺诈行为，否则取消竞标资格。</w:t>
      </w:r>
    </w:p>
    <w:p w14:paraId="59981BC5">
      <w:pPr>
        <w:pStyle w:val="68"/>
        <w:numPr>
          <w:ilvl w:val="0"/>
          <w:numId w:val="4"/>
        </w:numPr>
        <w:snapToGrid w:val="0"/>
        <w:ind w:firstLineChars="0"/>
        <w:outlineLvl w:val="2"/>
        <w:rPr>
          <w:rFonts w:hint="eastAsia" w:ascii="宋体" w:hAnsi="宋体" w:eastAsia="宋体" w:cs="宋体"/>
          <w:sz w:val="21"/>
          <w:szCs w:val="21"/>
        </w:rPr>
      </w:pPr>
      <w:r>
        <w:rPr>
          <w:rFonts w:hint="eastAsia" w:ascii="宋体" w:hAnsi="宋体" w:eastAsia="宋体" w:cs="宋体"/>
          <w:sz w:val="21"/>
          <w:szCs w:val="21"/>
        </w:rPr>
        <w:t>竞标文件的组成</w:t>
      </w:r>
    </w:p>
    <w:p w14:paraId="23D95D44">
      <w:pPr>
        <w:pStyle w:val="64"/>
        <w:autoSpaceDE w:val="0"/>
        <w:autoSpaceDN w:val="0"/>
        <w:adjustRightInd w:val="0"/>
        <w:spacing w:line="360" w:lineRule="auto"/>
        <w:ind w:firstLine="440"/>
        <w:rPr>
          <w:rFonts w:hint="eastAsia" w:ascii="宋体" w:hAnsi="宋体" w:eastAsia="宋体" w:cs="宋体"/>
          <w:sz w:val="21"/>
          <w:szCs w:val="21"/>
        </w:rPr>
      </w:pPr>
      <w:r>
        <w:rPr>
          <w:rFonts w:hint="eastAsia" w:ascii="宋体" w:hAnsi="宋体" w:eastAsia="宋体" w:cs="宋体"/>
          <w:sz w:val="21"/>
          <w:szCs w:val="21"/>
        </w:rPr>
        <w:t>投标文件应由</w:t>
      </w:r>
      <w:r>
        <w:rPr>
          <w:rFonts w:hint="eastAsia" w:ascii="宋体" w:hAnsi="宋体" w:eastAsia="宋体" w:cs="宋体"/>
          <w:sz w:val="21"/>
          <w:szCs w:val="21"/>
          <w:lang w:val="en-US" w:eastAsia="zh-CN"/>
        </w:rPr>
        <w:t>两</w:t>
      </w:r>
      <w:r>
        <w:rPr>
          <w:rFonts w:hint="eastAsia" w:ascii="宋体" w:hAnsi="宋体" w:eastAsia="宋体" w:cs="宋体"/>
          <w:sz w:val="21"/>
          <w:szCs w:val="21"/>
        </w:rPr>
        <w:t>部分组成。具体内容如下：第一部分：商务部分；第二部分：技术部分。竞标人所作的一切有效补充、修改文件，均被视为竞标文件不可分割的部分。投标文件在编制完成后应装订成册，</w:t>
      </w:r>
      <w:r>
        <w:rPr>
          <w:rFonts w:hint="eastAsia" w:ascii="宋体" w:hAnsi="宋体" w:eastAsia="宋体" w:cs="宋体"/>
          <w:sz w:val="21"/>
          <w:szCs w:val="21"/>
          <w:lang w:val="en-US" w:eastAsia="zh-CN"/>
        </w:rPr>
        <w:t>发送至招标人指定收件地址，</w:t>
      </w:r>
      <w:r>
        <w:rPr>
          <w:rFonts w:hint="eastAsia" w:ascii="宋体" w:hAnsi="宋体" w:eastAsia="宋体" w:cs="宋体"/>
          <w:sz w:val="21"/>
          <w:szCs w:val="21"/>
        </w:rPr>
        <w:t>投标文件封面（见附件10）。</w:t>
      </w:r>
    </w:p>
    <w:p w14:paraId="6E57E74C">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*3.1商务部分</w:t>
      </w:r>
    </w:p>
    <w:p w14:paraId="746EC1F6">
      <w:pPr>
        <w:pStyle w:val="66"/>
        <w:snapToGrid w:val="0"/>
        <w:ind w:firstLine="0" w:firstLineChars="0"/>
        <w:rPr>
          <w:rFonts w:hint="eastAsia" w:ascii="宋体" w:hAnsi="宋体" w:eastAsia="宋体" w:cs="宋体"/>
          <w:sz w:val="21"/>
          <w:szCs w:val="21"/>
        </w:rPr>
      </w:pPr>
      <w:r>
        <w:rPr>
          <w:rFonts w:hint="eastAsia" w:ascii="宋体" w:hAnsi="宋体" w:eastAsia="宋体" w:cs="宋体"/>
          <w:sz w:val="21"/>
          <w:szCs w:val="21"/>
        </w:rPr>
        <w:t>3.1.1竞标书（提供原件，格式见招标文件</w:t>
      </w:r>
      <w:r>
        <w:rPr>
          <w:rFonts w:hint="eastAsia" w:ascii="宋体" w:hAnsi="宋体" w:eastAsia="宋体" w:cs="宋体"/>
          <w:b/>
          <w:sz w:val="21"/>
          <w:szCs w:val="21"/>
        </w:rPr>
        <w:t>附件1</w:t>
      </w:r>
      <w:r>
        <w:rPr>
          <w:rFonts w:hint="eastAsia" w:ascii="宋体" w:hAnsi="宋体" w:eastAsia="宋体" w:cs="宋体"/>
          <w:sz w:val="21"/>
          <w:szCs w:val="21"/>
        </w:rPr>
        <w:t>）</w:t>
      </w:r>
    </w:p>
    <w:p w14:paraId="12139227">
      <w:pPr>
        <w:pStyle w:val="66"/>
        <w:snapToGrid w:val="0"/>
        <w:ind w:firstLine="0" w:firstLineChars="0"/>
        <w:rPr>
          <w:rFonts w:hint="eastAsia" w:ascii="宋体" w:hAnsi="宋体" w:eastAsia="宋体" w:cs="宋体"/>
          <w:sz w:val="21"/>
          <w:szCs w:val="21"/>
        </w:rPr>
      </w:pPr>
      <w:r>
        <w:rPr>
          <w:rFonts w:hint="eastAsia" w:ascii="宋体" w:hAnsi="宋体" w:eastAsia="宋体" w:cs="宋体"/>
          <w:sz w:val="21"/>
          <w:szCs w:val="21"/>
        </w:rPr>
        <w:t>3.1.2竞标人资格证明（至少包含以下证明材料）：</w:t>
      </w:r>
    </w:p>
    <w:p w14:paraId="4564A755">
      <w:pPr>
        <w:pStyle w:val="66"/>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1）竞标人关于资格的声明函（提供原件，格式见招标文件</w:t>
      </w:r>
      <w:r>
        <w:rPr>
          <w:rFonts w:hint="eastAsia" w:ascii="宋体" w:hAnsi="宋体" w:eastAsia="宋体" w:cs="宋体"/>
          <w:b/>
          <w:sz w:val="21"/>
          <w:szCs w:val="21"/>
        </w:rPr>
        <w:t>附件2</w:t>
      </w:r>
      <w:r>
        <w:rPr>
          <w:rFonts w:hint="eastAsia" w:ascii="宋体" w:hAnsi="宋体" w:eastAsia="宋体" w:cs="宋体"/>
          <w:sz w:val="21"/>
          <w:szCs w:val="21"/>
        </w:rPr>
        <w:t>）；</w:t>
      </w:r>
    </w:p>
    <w:p w14:paraId="69329078">
      <w:pPr>
        <w:pStyle w:val="66"/>
        <w:numPr>
          <w:ilvl w:val="0"/>
          <w:numId w:val="5"/>
        </w:numPr>
        <w:snapToGrid w:val="0"/>
        <w:ind w:firstLineChars="0"/>
        <w:rPr>
          <w:rFonts w:hint="eastAsia" w:ascii="宋体" w:hAnsi="宋体" w:eastAsia="宋体" w:cs="宋体"/>
          <w:sz w:val="21"/>
          <w:szCs w:val="21"/>
        </w:rPr>
      </w:pPr>
      <w:r>
        <w:rPr>
          <w:rFonts w:hint="eastAsia" w:ascii="宋体" w:hAnsi="宋体" w:eastAsia="宋体" w:cs="宋体"/>
          <w:sz w:val="21"/>
          <w:szCs w:val="21"/>
        </w:rPr>
        <w:t>竞标人法定代表人授权委托书（提供原件，格式见招标文件</w:t>
      </w:r>
      <w:r>
        <w:rPr>
          <w:rFonts w:hint="eastAsia" w:ascii="宋体" w:hAnsi="宋体" w:eastAsia="宋体" w:cs="宋体"/>
          <w:b/>
          <w:sz w:val="21"/>
          <w:szCs w:val="21"/>
        </w:rPr>
        <w:t>附件3</w:t>
      </w:r>
      <w:r>
        <w:rPr>
          <w:rFonts w:hint="eastAsia" w:ascii="宋体" w:hAnsi="宋体" w:eastAsia="宋体" w:cs="宋体"/>
          <w:sz w:val="21"/>
          <w:szCs w:val="21"/>
        </w:rPr>
        <w:t>）；</w:t>
      </w:r>
    </w:p>
    <w:p w14:paraId="0870685E">
      <w:pPr>
        <w:pStyle w:val="66"/>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3）竞标人承诺函（提供原件，格式见招标文件</w:t>
      </w:r>
      <w:r>
        <w:rPr>
          <w:rFonts w:hint="eastAsia" w:ascii="宋体" w:hAnsi="宋体" w:eastAsia="宋体" w:cs="宋体"/>
          <w:b/>
          <w:sz w:val="21"/>
          <w:szCs w:val="21"/>
        </w:rPr>
        <w:t>附件4</w:t>
      </w:r>
      <w:r>
        <w:rPr>
          <w:rFonts w:hint="eastAsia" w:ascii="宋体" w:hAnsi="宋体" w:eastAsia="宋体" w:cs="宋体"/>
          <w:sz w:val="21"/>
          <w:szCs w:val="21"/>
        </w:rPr>
        <w:t>）；</w:t>
      </w:r>
    </w:p>
    <w:p w14:paraId="7DD45496">
      <w:pPr>
        <w:pStyle w:val="66"/>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4）三证合一营业执照、资质证书的复印件并加盖公章，法定代表人身份证明（附上身份证复印件）并加盖公章；</w:t>
      </w:r>
    </w:p>
    <w:p w14:paraId="2486A1F7">
      <w:pPr>
        <w:pStyle w:val="66"/>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5）诚信合作与公平竞争协议（提供原件并加盖公章，格式见招标文件</w:t>
      </w:r>
      <w:r>
        <w:rPr>
          <w:rFonts w:hint="eastAsia" w:ascii="宋体" w:hAnsi="宋体" w:eastAsia="宋体" w:cs="宋体"/>
          <w:b/>
          <w:sz w:val="21"/>
          <w:szCs w:val="21"/>
        </w:rPr>
        <w:t>附件6</w:t>
      </w:r>
      <w:r>
        <w:rPr>
          <w:rFonts w:hint="eastAsia" w:ascii="宋体" w:hAnsi="宋体" w:eastAsia="宋体" w:cs="宋体"/>
          <w:sz w:val="21"/>
          <w:szCs w:val="21"/>
        </w:rPr>
        <w:t>）；</w:t>
      </w:r>
    </w:p>
    <w:p w14:paraId="58F213EE">
      <w:pPr>
        <w:pStyle w:val="66"/>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6）诚信报价承诺书（提供原件并加盖公章，格式见招标文件</w:t>
      </w:r>
      <w:r>
        <w:rPr>
          <w:rFonts w:hint="eastAsia" w:ascii="宋体" w:hAnsi="宋体" w:eastAsia="宋体" w:cs="宋体"/>
          <w:b/>
          <w:sz w:val="21"/>
          <w:szCs w:val="21"/>
        </w:rPr>
        <w:t>附件8</w:t>
      </w:r>
      <w:r>
        <w:rPr>
          <w:rFonts w:hint="eastAsia" w:ascii="宋体" w:hAnsi="宋体" w:eastAsia="宋体" w:cs="宋体"/>
          <w:sz w:val="21"/>
          <w:szCs w:val="21"/>
        </w:rPr>
        <w:t>）。</w:t>
      </w:r>
    </w:p>
    <w:p w14:paraId="4357CEBD">
      <w:pPr>
        <w:pStyle w:val="66"/>
        <w:snapToGrid w:val="0"/>
        <w:ind w:firstLine="0" w:firstLineChars="0"/>
        <w:outlineLvl w:val="2"/>
        <w:rPr>
          <w:rFonts w:hint="eastAsia" w:ascii="宋体" w:hAnsi="宋体" w:eastAsia="宋体" w:cs="宋体"/>
          <w:sz w:val="21"/>
          <w:szCs w:val="21"/>
        </w:rPr>
      </w:pPr>
      <w:r>
        <w:rPr>
          <w:rFonts w:hint="eastAsia" w:ascii="宋体" w:hAnsi="宋体" w:eastAsia="宋体" w:cs="宋体"/>
          <w:sz w:val="21"/>
          <w:szCs w:val="21"/>
        </w:rPr>
        <w:t>3.1.3竞标人资信证明：</w:t>
      </w:r>
    </w:p>
    <w:p w14:paraId="0439B4FC">
      <w:pPr>
        <w:pStyle w:val="66"/>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1）质量管理体系认证证书；</w:t>
      </w:r>
    </w:p>
    <w:p w14:paraId="7AD6B660">
      <w:pPr>
        <w:pStyle w:val="66"/>
        <w:numPr>
          <w:ilvl w:val="0"/>
          <w:numId w:val="6"/>
        </w:numPr>
        <w:snapToGrid w:val="0"/>
        <w:ind w:firstLineChars="0"/>
        <w:rPr>
          <w:rFonts w:hint="eastAsia" w:ascii="宋体" w:hAnsi="宋体" w:eastAsia="宋体" w:cs="宋体"/>
          <w:sz w:val="21"/>
          <w:szCs w:val="21"/>
        </w:rPr>
      </w:pPr>
      <w:r>
        <w:rPr>
          <w:rFonts w:hint="eastAsia" w:ascii="宋体" w:hAnsi="宋体" w:eastAsia="宋体" w:cs="宋体"/>
          <w:sz w:val="21"/>
          <w:szCs w:val="21"/>
        </w:rPr>
        <w:t>资信等级证书；</w:t>
      </w:r>
    </w:p>
    <w:p w14:paraId="54788D03">
      <w:pPr>
        <w:pStyle w:val="66"/>
        <w:snapToGrid w:val="0"/>
        <w:ind w:left="420" w:firstLine="0" w:firstLineChars="0"/>
        <w:rPr>
          <w:rFonts w:hint="eastAsia" w:ascii="宋体" w:hAnsi="宋体" w:eastAsia="宋体" w:cs="宋体"/>
          <w:sz w:val="21"/>
          <w:szCs w:val="21"/>
        </w:rPr>
      </w:pPr>
      <w:r>
        <w:rPr>
          <w:rFonts w:hint="eastAsia" w:ascii="宋体" w:hAnsi="宋体" w:eastAsia="宋体" w:cs="宋体"/>
          <w:sz w:val="21"/>
          <w:szCs w:val="21"/>
        </w:rPr>
        <w:t>3）企业财务状况，包含：近三年资产负债表、利润及利润分配表和现金流量表等会计报表以及有审计机构出具的审计报告，并加盖公章；</w:t>
      </w:r>
    </w:p>
    <w:p w14:paraId="56819E9C">
      <w:pPr>
        <w:pStyle w:val="66"/>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4）最近一期工商年检报告（竞标人自选是否提供）；</w:t>
      </w:r>
    </w:p>
    <w:p w14:paraId="2C84E54F">
      <w:pPr>
        <w:pStyle w:val="66"/>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5）其他资质证明文件等。</w:t>
      </w:r>
    </w:p>
    <w:p w14:paraId="7D52E781">
      <w:pPr>
        <w:pStyle w:val="66"/>
        <w:snapToGrid w:val="0"/>
        <w:ind w:firstLine="0" w:firstLineChars="0"/>
        <w:rPr>
          <w:rFonts w:hint="eastAsia" w:ascii="宋体" w:hAnsi="宋体" w:eastAsia="宋体" w:cs="宋体"/>
          <w:sz w:val="21"/>
          <w:szCs w:val="21"/>
        </w:rPr>
      </w:pPr>
      <w:r>
        <w:rPr>
          <w:rFonts w:hint="eastAsia" w:ascii="宋体" w:hAnsi="宋体" w:eastAsia="宋体" w:cs="宋体"/>
          <w:sz w:val="21"/>
          <w:szCs w:val="21"/>
        </w:rPr>
        <w:t>3.1.4企业简介（包括组织机构、股权结构、业务能力、服务体系及方案、经营场所、人员结构等）</w:t>
      </w:r>
    </w:p>
    <w:p w14:paraId="62FF126C">
      <w:pPr>
        <w:pStyle w:val="66"/>
        <w:snapToGrid w:val="0"/>
        <w:ind w:firstLine="0" w:firstLineChars="0"/>
        <w:outlineLvl w:val="2"/>
        <w:rPr>
          <w:rFonts w:hint="eastAsia" w:ascii="宋体" w:hAnsi="宋体" w:eastAsia="宋体" w:cs="宋体"/>
          <w:sz w:val="21"/>
          <w:szCs w:val="21"/>
        </w:rPr>
      </w:pPr>
      <w:r>
        <w:rPr>
          <w:rFonts w:hint="eastAsia" w:ascii="宋体" w:hAnsi="宋体" w:eastAsia="宋体" w:cs="宋体"/>
          <w:sz w:val="21"/>
          <w:szCs w:val="21"/>
        </w:rPr>
        <w:t>3.1.5企业主要业绩</w:t>
      </w:r>
    </w:p>
    <w:p w14:paraId="3AD500C6">
      <w:pPr>
        <w:pStyle w:val="66"/>
        <w:snapToGrid w:val="0"/>
        <w:ind w:firstLine="420" w:firstLineChars="0"/>
        <w:rPr>
          <w:rFonts w:hint="eastAsia" w:ascii="宋体" w:hAnsi="宋体" w:eastAsia="宋体" w:cs="宋体"/>
          <w:sz w:val="21"/>
          <w:szCs w:val="21"/>
        </w:rPr>
      </w:pPr>
      <w:r>
        <w:rPr>
          <w:rFonts w:hint="eastAsia" w:ascii="宋体" w:hAnsi="宋体" w:eastAsia="宋体" w:cs="宋体"/>
          <w:sz w:val="21"/>
          <w:szCs w:val="21"/>
        </w:rPr>
        <w:t>1）近一年业绩及目前正在执行合同情况（包括完成情况和出现的重要质量问题及改进措施。必须提供至少一份能证明业绩的有效证明，如：合同、中标通知书或使用单位评价等）；</w:t>
      </w:r>
    </w:p>
    <w:p w14:paraId="0D1DE539">
      <w:pPr>
        <w:pStyle w:val="66"/>
        <w:numPr>
          <w:ilvl w:val="0"/>
          <w:numId w:val="7"/>
        </w:numPr>
        <w:snapToGrid w:val="0"/>
        <w:ind w:firstLineChars="0"/>
        <w:rPr>
          <w:rFonts w:hint="eastAsia" w:ascii="宋体" w:hAnsi="宋体" w:eastAsia="宋体" w:cs="宋体"/>
          <w:sz w:val="21"/>
          <w:szCs w:val="21"/>
        </w:rPr>
      </w:pPr>
      <w:r>
        <w:rPr>
          <w:rFonts w:hint="eastAsia" w:ascii="宋体" w:hAnsi="宋体" w:eastAsia="宋体" w:cs="宋体"/>
          <w:sz w:val="21"/>
          <w:szCs w:val="21"/>
        </w:rPr>
        <w:t>近三年企业或产品获省、部级及以上奖励情况（附证书复印件）；</w:t>
      </w:r>
    </w:p>
    <w:p w14:paraId="1411F45D">
      <w:pPr>
        <w:pStyle w:val="66"/>
        <w:snapToGrid w:val="0"/>
        <w:ind w:left="420" w:firstLine="0" w:firstLineChars="0"/>
        <w:rPr>
          <w:rFonts w:hint="eastAsia" w:ascii="宋体" w:hAnsi="宋体" w:eastAsia="宋体" w:cs="宋体"/>
          <w:sz w:val="21"/>
          <w:szCs w:val="21"/>
        </w:rPr>
      </w:pPr>
      <w:r>
        <w:rPr>
          <w:rFonts w:hint="eastAsia" w:ascii="宋体" w:hAnsi="宋体" w:eastAsia="宋体" w:cs="宋体"/>
          <w:sz w:val="21"/>
          <w:szCs w:val="21"/>
        </w:rPr>
        <w:t>3）竞标人应提供能证明其符合竞标合格条件和具有履行合同能力的资格文件，所附资料、文件必须清晰、真实、有效。所提供的证明材料，竞标人认为涉及商业秘密的可予删除，否则招标人对此不负任何责任。</w:t>
      </w:r>
    </w:p>
    <w:p w14:paraId="67597A94">
      <w:pPr>
        <w:pStyle w:val="66"/>
        <w:snapToGrid w:val="0"/>
        <w:ind w:firstLine="0" w:firstLineChars="0"/>
        <w:rPr>
          <w:rFonts w:hint="eastAsia" w:ascii="宋体" w:hAnsi="宋体" w:eastAsia="宋体" w:cs="宋体"/>
          <w:sz w:val="21"/>
          <w:szCs w:val="21"/>
        </w:rPr>
      </w:pPr>
      <w:r>
        <w:rPr>
          <w:rFonts w:hint="eastAsia" w:ascii="宋体" w:hAnsi="宋体" w:eastAsia="宋体" w:cs="宋体"/>
          <w:sz w:val="21"/>
          <w:szCs w:val="21"/>
        </w:rPr>
        <w:t>*3.1.5保密协议，竞标人填写首页竞标人信息及末页竞标人落款，一式二份，加盖骑缝章与落款章（单独打印、不装订，随商务部分交由招标方，格式见招标文件</w:t>
      </w:r>
      <w:r>
        <w:rPr>
          <w:rFonts w:hint="eastAsia" w:ascii="宋体" w:hAnsi="宋体" w:eastAsia="宋体" w:cs="宋体"/>
          <w:b/>
          <w:sz w:val="21"/>
          <w:szCs w:val="21"/>
        </w:rPr>
        <w:t>附件7</w:t>
      </w:r>
      <w:r>
        <w:rPr>
          <w:rFonts w:hint="eastAsia" w:ascii="宋体" w:hAnsi="宋体" w:eastAsia="宋体" w:cs="宋体"/>
          <w:sz w:val="21"/>
          <w:szCs w:val="21"/>
        </w:rPr>
        <w:t>）。</w:t>
      </w:r>
    </w:p>
    <w:p w14:paraId="3D282C3A">
      <w:pPr>
        <w:pStyle w:val="66"/>
        <w:snapToGrid w:val="0"/>
        <w:ind w:firstLine="0" w:firstLineChars="0"/>
        <w:rPr>
          <w:rFonts w:hint="eastAsia" w:ascii="宋体" w:hAnsi="宋体" w:eastAsia="宋体" w:cs="宋体"/>
          <w:sz w:val="21"/>
          <w:szCs w:val="21"/>
        </w:rPr>
      </w:pPr>
      <w:r>
        <w:rPr>
          <w:rFonts w:hint="eastAsia" w:ascii="宋体" w:hAnsi="宋体" w:eastAsia="宋体" w:cs="宋体"/>
          <w:sz w:val="21"/>
          <w:szCs w:val="21"/>
        </w:rPr>
        <w:t>*3.1.6合同模板响应说明，如有偏离需详细写出偏离原因（列明条款编号及偏离内容），若未列明偏离内容的视为同意招标人的相应条款及合同附件。（格式自拟，合同模板见招标文件附件9）。</w:t>
      </w:r>
    </w:p>
    <w:p w14:paraId="6AD854F8">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3.2技术部分</w:t>
      </w:r>
    </w:p>
    <w:p w14:paraId="7363872C">
      <w:pPr>
        <w:pStyle w:val="66"/>
        <w:snapToGrid w:val="0"/>
        <w:ind w:firstLine="0" w:firstLineChars="0"/>
        <w:rPr>
          <w:rFonts w:hint="eastAsia" w:ascii="宋体" w:hAnsi="宋体" w:eastAsia="宋体" w:cs="宋体"/>
          <w:sz w:val="21"/>
          <w:szCs w:val="21"/>
        </w:rPr>
      </w:pPr>
      <w:r>
        <w:rPr>
          <w:rFonts w:hint="eastAsia" w:ascii="宋体" w:hAnsi="宋体" w:eastAsia="宋体" w:cs="宋体"/>
          <w:sz w:val="21"/>
          <w:szCs w:val="21"/>
        </w:rPr>
        <w:t>内容的编制顺序和格式按以下要求填写。</w:t>
      </w:r>
    </w:p>
    <w:p w14:paraId="775A81E4">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3.2.1货代公司内部组织架构及货运方式的设计方案，需分项详细说明招标文件中关于国际物流运输的各项数据关联等信息；</w:t>
      </w:r>
    </w:p>
    <w:p w14:paraId="3F017ED0">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3.2.2需分项说明招标文件中关于技术要求部分的响应程度；</w:t>
      </w:r>
    </w:p>
    <w:p w14:paraId="0F90BAB8">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3.2.3项目实施计划；</w:t>
      </w:r>
    </w:p>
    <w:p w14:paraId="7235AD89">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3.2.4系统的框架图并分层次详细说明；</w:t>
      </w:r>
    </w:p>
    <w:p w14:paraId="7F6877AB">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3.2.5 项目组成员名单及信息;</w:t>
      </w:r>
    </w:p>
    <w:p w14:paraId="0BECD421">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3.2.6项目培训安排；</w:t>
      </w:r>
    </w:p>
    <w:p w14:paraId="4283F4D8">
      <w:pPr>
        <w:pStyle w:val="66"/>
        <w:snapToGrid w:val="0"/>
        <w:ind w:firstLine="0" w:firstLineChars="0"/>
        <w:outlineLvl w:val="1"/>
        <w:rPr>
          <w:rFonts w:hint="eastAsia" w:ascii="宋体" w:hAnsi="宋体" w:eastAsia="宋体" w:cs="宋体"/>
          <w:sz w:val="21"/>
          <w:szCs w:val="21"/>
        </w:rPr>
      </w:pPr>
      <w:r>
        <w:rPr>
          <w:rFonts w:hint="eastAsia" w:ascii="宋体" w:hAnsi="宋体" w:eastAsia="宋体" w:cs="宋体"/>
          <w:sz w:val="21"/>
          <w:szCs w:val="21"/>
        </w:rPr>
        <w:t>3.2.7售后服务及技术支持。</w:t>
      </w:r>
    </w:p>
    <w:p w14:paraId="6B0CFBCC">
      <w:pPr>
        <w:pStyle w:val="66"/>
        <w:ind w:firstLine="0" w:firstLineChars="0"/>
        <w:outlineLvl w:val="3"/>
        <w:rPr>
          <w:rFonts w:hint="eastAsia" w:ascii="宋体" w:hAnsi="宋体" w:eastAsia="宋体" w:cs="宋体"/>
          <w:b/>
          <w:sz w:val="21"/>
          <w:szCs w:val="21"/>
        </w:rPr>
      </w:pPr>
      <w:r>
        <w:rPr>
          <w:rFonts w:hint="eastAsia" w:ascii="宋体" w:hAnsi="宋体" w:eastAsia="宋体" w:cs="宋体"/>
          <w:b/>
          <w:sz w:val="21"/>
          <w:szCs w:val="21"/>
        </w:rPr>
        <w:t>4、发生下列情况之一的投标文件均视为无效：</w:t>
      </w:r>
    </w:p>
    <w:p w14:paraId="064E7DF7">
      <w:pPr>
        <w:pStyle w:val="66"/>
        <w:ind w:firstLine="0" w:firstLineChars="0"/>
        <w:outlineLvl w:val="1"/>
        <w:rPr>
          <w:rFonts w:hint="eastAsia" w:ascii="宋体" w:hAnsi="宋体" w:eastAsia="宋体" w:cs="宋体"/>
          <w:sz w:val="21"/>
          <w:szCs w:val="21"/>
        </w:rPr>
      </w:pPr>
      <w:r>
        <w:rPr>
          <w:rFonts w:hint="eastAsia" w:ascii="宋体" w:hAnsi="宋体" w:eastAsia="宋体" w:cs="宋体"/>
          <w:sz w:val="21"/>
          <w:szCs w:val="21"/>
        </w:rPr>
        <w:t>4.1未在截止时间以前按竞争性谈判文件要求送达投标文件或未按竞争性谈判文件规定的方式参加评标。</w:t>
      </w:r>
    </w:p>
    <w:p w14:paraId="6CAE286F">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4.2投标书应盖而未盖公章、未装订、未密封、未有效授权、资质不符等。</w:t>
      </w:r>
    </w:p>
    <w:p w14:paraId="04D60442">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4.3投标人以他人名义投标、串标、以行贿手段谋取中标或者以其他弄虚作假方式投标的。下列行为属于串标：</w:t>
      </w:r>
    </w:p>
    <w:p w14:paraId="7C9DEBD3">
      <w:pPr>
        <w:pStyle w:val="66"/>
        <w:ind w:firstLine="0" w:firstLineChars="0"/>
        <w:outlineLvl w:val="2"/>
        <w:rPr>
          <w:rFonts w:hint="eastAsia" w:ascii="宋体" w:hAnsi="宋体" w:eastAsia="宋体" w:cs="宋体"/>
          <w:sz w:val="21"/>
          <w:szCs w:val="21"/>
        </w:rPr>
      </w:pPr>
      <w:r>
        <w:rPr>
          <w:rFonts w:hint="eastAsia" w:ascii="宋体" w:hAnsi="宋体" w:eastAsia="宋体" w:cs="宋体"/>
          <w:sz w:val="21"/>
          <w:szCs w:val="21"/>
        </w:rPr>
        <w:t>4.3.1投标人之间相互约定抬高或压低投标报价；</w:t>
      </w:r>
    </w:p>
    <w:p w14:paraId="7CCE1F48">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4.3.2投标人之间相互约定，在招标项目中分别以高、中、低价位报价；</w:t>
      </w:r>
    </w:p>
    <w:p w14:paraId="7A9C83DD">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4.3.3投标人之间先进行内部竞价，内定中标人，然后再参加投标；</w:t>
      </w:r>
    </w:p>
    <w:p w14:paraId="06854155">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4.3.4与本标项其他投标人的投标文件全部或部分均由同一个单位或者同一个人编制的；</w:t>
      </w:r>
    </w:p>
    <w:p w14:paraId="09159CE2">
      <w:pPr>
        <w:pStyle w:val="66"/>
        <w:ind w:firstLine="0" w:firstLineChars="0"/>
        <w:outlineLvl w:val="2"/>
        <w:rPr>
          <w:rFonts w:hint="eastAsia" w:ascii="宋体" w:hAnsi="宋体" w:eastAsia="宋体" w:cs="宋体"/>
          <w:sz w:val="21"/>
          <w:szCs w:val="21"/>
        </w:rPr>
      </w:pPr>
      <w:r>
        <w:rPr>
          <w:rFonts w:hint="eastAsia" w:ascii="宋体" w:hAnsi="宋体" w:eastAsia="宋体" w:cs="宋体"/>
          <w:sz w:val="21"/>
          <w:szCs w:val="21"/>
        </w:rPr>
        <w:t>4.3.5投标人之间其他串通投标报价的行为。</w:t>
      </w:r>
    </w:p>
    <w:p w14:paraId="7365875F">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4.4投标人提供的投标文件或投标内容弄虚做假，包括但不限于加盖私刻印章、伪造法人签字、投标内容虚假等的。</w:t>
      </w:r>
    </w:p>
    <w:p w14:paraId="4F08FA3D">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4.5不符合法律、法规和招标文件规定的其他实质性要求的。</w:t>
      </w:r>
    </w:p>
    <w:p w14:paraId="4FFD4F32">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4.6招标文件另明确定义为无效投标的情况。</w:t>
      </w:r>
    </w:p>
    <w:p w14:paraId="79F53A2E">
      <w:pPr>
        <w:pStyle w:val="66"/>
        <w:ind w:firstLine="0" w:firstLineChars="0"/>
        <w:outlineLvl w:val="3"/>
        <w:rPr>
          <w:rFonts w:hint="eastAsia" w:ascii="宋体" w:hAnsi="宋体" w:eastAsia="宋体" w:cs="宋体"/>
          <w:b/>
          <w:bCs/>
          <w:sz w:val="21"/>
          <w:szCs w:val="21"/>
        </w:rPr>
      </w:pPr>
      <w:r>
        <w:rPr>
          <w:rFonts w:hint="eastAsia" w:ascii="宋体" w:hAnsi="宋体" w:eastAsia="宋体" w:cs="宋体"/>
          <w:b/>
          <w:bCs/>
          <w:sz w:val="21"/>
          <w:szCs w:val="21"/>
        </w:rPr>
        <w:t>5、答疑及竞争性文件的修改</w:t>
      </w:r>
    </w:p>
    <w:p w14:paraId="75B78959">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如对本次竞争性谈判文件存在疑问，请竞标方以电子邮件的形式在竞标截止日期前3天提交，招标人将做统一答复，如在规定时间内未收到任何质疑，则视为各竞标方对竞争性谈判文件无异议。</w:t>
      </w:r>
    </w:p>
    <w:p w14:paraId="06A402F1">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在评标结束前，招标人有权对竞争性谈判文件进行澄清、修改，这些补充修改文件是竞争性谈判文件的组成部分，对投标人有约束作用。若澄清或者修改的内容可能影响资格预审申请文件或者投标文件编制的，招标人应当采取与本竞争性谈判文件相同的方式发布或告知竞标方，必要时招标人应当延长投标截止时间。竞标方应当尽到注意义务，及时关注招标人可能发布的公示文件。</w:t>
      </w:r>
    </w:p>
    <w:p w14:paraId="5642C60C">
      <w:pPr>
        <w:pStyle w:val="66"/>
        <w:ind w:firstLine="0" w:firstLineChars="0"/>
        <w:outlineLvl w:val="3"/>
        <w:rPr>
          <w:rFonts w:hint="eastAsia" w:ascii="宋体" w:hAnsi="宋体" w:eastAsia="宋体" w:cs="宋体"/>
          <w:b/>
          <w:bCs/>
          <w:sz w:val="21"/>
          <w:szCs w:val="21"/>
        </w:rPr>
      </w:pPr>
      <w:r>
        <w:rPr>
          <w:rFonts w:hint="eastAsia" w:ascii="宋体" w:hAnsi="宋体" w:eastAsia="宋体" w:cs="宋体"/>
          <w:b/>
          <w:bCs/>
          <w:sz w:val="21"/>
          <w:szCs w:val="21"/>
        </w:rPr>
        <w:t>6、投标文件的补充、修改、撤回及投标有效期</w:t>
      </w:r>
    </w:p>
    <w:p w14:paraId="2D741CD7">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投标文件不得有涂改、增删及行间插字。若有修改须由签署投标文件的法人代表或法人授权代表人在修改处进行签字并捺印。</w:t>
      </w:r>
    </w:p>
    <w:p w14:paraId="78B330DE">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549363C6">
      <w:pPr>
        <w:pStyle w:val="66"/>
        <w:ind w:firstLine="0" w:firstLineChars="0"/>
        <w:rPr>
          <w:rFonts w:hint="eastAsia" w:ascii="宋体" w:hAnsi="宋体" w:eastAsia="宋体" w:cs="宋体"/>
          <w:sz w:val="21"/>
          <w:szCs w:val="21"/>
        </w:rPr>
      </w:pPr>
      <w:r>
        <w:rPr>
          <w:rFonts w:hint="eastAsia" w:ascii="宋体" w:hAnsi="宋体" w:eastAsia="宋体" w:cs="宋体"/>
          <w:sz w:val="21"/>
          <w:szCs w:val="21"/>
        </w:rPr>
        <w:t>投标文件有效期为从规定的开标时间（投标截止时间）起30天内，在此期间内投标文件有效，投标人不得改变其在投标文件中承诺的全部义务。特殊情况下，在原投标有效期期满之前，招标人可以延长有效期。</w:t>
      </w:r>
    </w:p>
    <w:p w14:paraId="2E301595">
      <w:pPr>
        <w:pStyle w:val="66"/>
        <w:ind w:firstLine="0" w:firstLineChars="0"/>
        <w:rPr>
          <w:rFonts w:ascii="宋体" w:hAnsi="宋体" w:eastAsia="宋体" w:cs="宋体"/>
          <w:szCs w:val="21"/>
        </w:rPr>
      </w:pPr>
    </w:p>
    <w:p w14:paraId="00FD5706">
      <w:pPr>
        <w:pStyle w:val="66"/>
        <w:snapToGrid w:val="0"/>
        <w:ind w:firstLine="0" w:firstLineChars="0"/>
        <w:rPr>
          <w:rFonts w:ascii="宋体" w:hAnsi="宋体" w:eastAsia="宋体" w:cs="宋体"/>
        </w:rPr>
      </w:pPr>
    </w:p>
    <w:p w14:paraId="5A39FC7F">
      <w:pPr>
        <w:spacing w:line="360" w:lineRule="auto"/>
        <w:rPr>
          <w:rFonts w:ascii="宋体" w:hAnsi="宋体" w:eastAsia="宋体" w:cs="宋体"/>
          <w:b/>
          <w:bCs/>
          <w:sz w:val="32"/>
          <w:szCs w:val="32"/>
        </w:rPr>
      </w:pPr>
      <w:r>
        <w:rPr>
          <w:rFonts w:hint="eastAsia" w:ascii="宋体" w:hAnsi="宋体" w:eastAsia="宋体" w:cs="宋体"/>
          <w:b/>
          <w:bCs/>
          <w:sz w:val="32"/>
          <w:szCs w:val="32"/>
        </w:rPr>
        <w:br w:type="page"/>
      </w:r>
    </w:p>
    <w:p w14:paraId="6934164F">
      <w:pPr>
        <w:pStyle w:val="64"/>
        <w:numPr>
          <w:ilvl w:val="0"/>
          <w:numId w:val="3"/>
        </w:numPr>
        <w:snapToGrid w:val="0"/>
        <w:spacing w:line="360" w:lineRule="auto"/>
        <w:ind w:firstLineChars="0"/>
        <w:jc w:val="center"/>
        <w:outlineLvl w:val="0"/>
        <w:rPr>
          <w:rFonts w:ascii="宋体" w:hAnsi="宋体" w:eastAsia="宋体" w:cs="宋体"/>
          <w:b/>
          <w:bCs/>
          <w:sz w:val="32"/>
          <w:szCs w:val="32"/>
        </w:rPr>
      </w:pPr>
      <w:bookmarkStart w:id="9" w:name="_Toc115362801"/>
      <w:bookmarkStart w:id="10" w:name="_Toc115362582"/>
      <w:bookmarkStart w:id="11" w:name="_Toc115362485"/>
      <w:r>
        <w:rPr>
          <w:rFonts w:hint="eastAsia" w:ascii="宋体" w:hAnsi="宋体" w:eastAsia="宋体" w:cs="宋体"/>
          <w:b/>
          <w:bCs/>
          <w:sz w:val="32"/>
          <w:szCs w:val="32"/>
        </w:rPr>
        <w:t>开标、评标须知</w:t>
      </w:r>
      <w:bookmarkEnd w:id="9"/>
      <w:bookmarkEnd w:id="10"/>
      <w:bookmarkEnd w:id="11"/>
    </w:p>
    <w:p w14:paraId="4A12A4A4">
      <w:pPr>
        <w:pStyle w:val="68"/>
        <w:ind w:firstLine="0" w:firstLineChars="0"/>
        <w:outlineLvl w:val="1"/>
        <w:rPr>
          <w:rFonts w:hint="eastAsia" w:ascii="宋体" w:hAnsi="宋体" w:eastAsia="宋体" w:cs="宋体"/>
          <w:sz w:val="21"/>
          <w:szCs w:val="21"/>
        </w:rPr>
      </w:pPr>
      <w:r>
        <w:rPr>
          <w:rFonts w:hint="eastAsia" w:ascii="宋体" w:hAnsi="宋体" w:eastAsia="宋体" w:cs="宋体"/>
          <w:sz w:val="21"/>
          <w:szCs w:val="21"/>
        </w:rPr>
        <w:t>1、开标</w:t>
      </w:r>
    </w:p>
    <w:p w14:paraId="20B275EC">
      <w:pPr>
        <w:pStyle w:val="66"/>
        <w:ind w:firstLineChars="0"/>
        <w:rPr>
          <w:rFonts w:hint="eastAsia" w:ascii="宋体" w:hAnsi="宋体" w:eastAsia="宋体" w:cs="宋体"/>
          <w:sz w:val="21"/>
          <w:szCs w:val="21"/>
        </w:rPr>
      </w:pPr>
      <w:r>
        <w:rPr>
          <w:rFonts w:hint="eastAsia" w:ascii="宋体" w:hAnsi="宋体" w:eastAsia="宋体" w:cs="宋体"/>
          <w:sz w:val="21"/>
          <w:szCs w:val="21"/>
        </w:rPr>
        <w:t>1.1时间： 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6</w:t>
      </w:r>
      <w:bookmarkStart w:id="36" w:name="_GoBack"/>
      <w:bookmarkEnd w:id="36"/>
      <w:r>
        <w:rPr>
          <w:rFonts w:hint="eastAsia" w:ascii="宋体" w:hAnsi="宋体" w:eastAsia="宋体" w:cs="宋体"/>
          <w:sz w:val="21"/>
          <w:szCs w:val="21"/>
        </w:rPr>
        <w:t>日上午9点00分（北京时间）</w:t>
      </w:r>
    </w:p>
    <w:p w14:paraId="2793A99F">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rPr>
        <w:t>1.2地点：四川省眉山市丹棱县(四川丹棱经济开发区A区)兴欣大道1号</w:t>
      </w:r>
      <w:r>
        <w:rPr>
          <w:rFonts w:hint="eastAsia" w:ascii="宋体" w:hAnsi="宋体" w:eastAsia="宋体" w:cs="宋体"/>
          <w:sz w:val="21"/>
          <w:szCs w:val="21"/>
          <w:lang w:eastAsia="zh-CN"/>
        </w:rPr>
        <w:t>。</w:t>
      </w:r>
    </w:p>
    <w:p w14:paraId="14DEB6D4">
      <w:pPr>
        <w:pStyle w:val="68"/>
        <w:ind w:firstLine="0" w:firstLineChars="0"/>
        <w:outlineLvl w:val="1"/>
        <w:rPr>
          <w:rFonts w:hint="eastAsia" w:ascii="宋体" w:hAnsi="宋体" w:eastAsia="宋体" w:cs="宋体"/>
          <w:sz w:val="21"/>
          <w:szCs w:val="21"/>
        </w:rPr>
      </w:pPr>
      <w:r>
        <w:rPr>
          <w:rFonts w:hint="eastAsia" w:ascii="宋体" w:hAnsi="宋体" w:eastAsia="宋体" w:cs="宋体"/>
          <w:sz w:val="21"/>
          <w:szCs w:val="21"/>
        </w:rPr>
        <w:t>2、评标</w:t>
      </w:r>
    </w:p>
    <w:p w14:paraId="0350DB0D">
      <w:pPr>
        <w:pStyle w:val="66"/>
        <w:ind w:firstLineChars="0"/>
        <w:rPr>
          <w:rFonts w:hint="eastAsia" w:ascii="宋体" w:hAnsi="宋体" w:eastAsia="宋体" w:cs="宋体"/>
          <w:sz w:val="21"/>
          <w:szCs w:val="21"/>
        </w:rPr>
      </w:pPr>
      <w:r>
        <w:rPr>
          <w:rFonts w:hint="eastAsia" w:ascii="宋体" w:hAnsi="宋体" w:eastAsia="宋体" w:cs="宋体"/>
          <w:sz w:val="21"/>
          <w:szCs w:val="21"/>
        </w:rPr>
        <w:t>2.1评标由眉山琏升光伏科技有限公司招采部负责组织，并成立评标小组。</w:t>
      </w:r>
    </w:p>
    <w:p w14:paraId="44154134">
      <w:pPr>
        <w:pStyle w:val="66"/>
        <w:ind w:firstLineChars="0"/>
        <w:rPr>
          <w:rFonts w:hint="eastAsia" w:ascii="宋体" w:hAnsi="宋体" w:eastAsia="宋体" w:cs="宋体"/>
          <w:sz w:val="21"/>
          <w:szCs w:val="21"/>
        </w:rPr>
      </w:pPr>
      <w:r>
        <w:rPr>
          <w:rFonts w:hint="eastAsia" w:ascii="宋体" w:hAnsi="宋体" w:eastAsia="宋体" w:cs="宋体"/>
          <w:sz w:val="21"/>
          <w:szCs w:val="21"/>
        </w:rPr>
        <w:t>2.2开标后再进入评标程序。</w:t>
      </w:r>
    </w:p>
    <w:p w14:paraId="37249F3A">
      <w:pPr>
        <w:pStyle w:val="66"/>
        <w:ind w:firstLineChars="0"/>
        <w:rPr>
          <w:rFonts w:hint="eastAsia" w:ascii="宋体" w:hAnsi="宋体" w:eastAsia="宋体" w:cs="宋体"/>
          <w:sz w:val="21"/>
          <w:szCs w:val="21"/>
        </w:rPr>
      </w:pPr>
      <w:r>
        <w:rPr>
          <w:rFonts w:hint="eastAsia" w:ascii="宋体" w:hAnsi="宋体" w:eastAsia="宋体" w:cs="宋体"/>
          <w:sz w:val="21"/>
          <w:szCs w:val="21"/>
        </w:rPr>
        <w:t>2.3评标程序</w:t>
      </w:r>
    </w:p>
    <w:p w14:paraId="6DA03721">
      <w:pPr>
        <w:pStyle w:val="66"/>
        <w:ind w:firstLine="420" w:firstLineChars="0"/>
        <w:rPr>
          <w:rFonts w:hint="eastAsia" w:ascii="宋体" w:hAnsi="宋体" w:eastAsia="宋体" w:cs="宋体"/>
          <w:sz w:val="21"/>
          <w:szCs w:val="21"/>
        </w:rPr>
      </w:pPr>
      <w:r>
        <w:rPr>
          <w:rFonts w:hint="eastAsia" w:ascii="宋体" w:hAnsi="宋体" w:eastAsia="宋体" w:cs="宋体"/>
          <w:sz w:val="21"/>
          <w:szCs w:val="21"/>
        </w:rPr>
        <w:t>1）竞标文件审查：开标后，评标小组先就竞标方竞标文件是否响应招标文件进行初步的符合性审查。</w:t>
      </w:r>
    </w:p>
    <w:p w14:paraId="4504D379">
      <w:pPr>
        <w:pStyle w:val="66"/>
        <w:ind w:firstLine="420" w:firstLineChars="0"/>
        <w:rPr>
          <w:rFonts w:hint="eastAsia" w:ascii="宋体" w:hAnsi="宋体" w:eastAsia="宋体" w:cs="宋体"/>
          <w:sz w:val="21"/>
          <w:szCs w:val="21"/>
        </w:rPr>
      </w:pPr>
      <w:r>
        <w:rPr>
          <w:rFonts w:hint="eastAsia" w:ascii="宋体" w:hAnsi="宋体" w:eastAsia="宋体" w:cs="宋体"/>
          <w:sz w:val="21"/>
          <w:szCs w:val="21"/>
        </w:rPr>
        <w:t>2）评标小组对竞标文件内容进行审查，对需要质询的地方，将及时通知竞标人进行答复，经确认质询问题得到答复后，开始对标书进行评审。</w:t>
      </w:r>
    </w:p>
    <w:p w14:paraId="3DFF59F3">
      <w:pPr>
        <w:pStyle w:val="66"/>
        <w:ind w:firstLine="420" w:firstLineChars="0"/>
        <w:rPr>
          <w:rFonts w:hint="eastAsia" w:ascii="宋体" w:hAnsi="宋体" w:eastAsia="宋体" w:cs="宋体"/>
          <w:sz w:val="21"/>
          <w:szCs w:val="21"/>
        </w:rPr>
      </w:pPr>
      <w:r>
        <w:rPr>
          <w:rFonts w:hint="eastAsia" w:ascii="宋体" w:hAnsi="宋体" w:eastAsia="宋体" w:cs="宋体"/>
          <w:sz w:val="21"/>
          <w:szCs w:val="21"/>
        </w:rPr>
        <w:t>3）对竞标单位的技术标、商务标等方面进行综合评定，并按下述“3、确定中标方”中规定进行评审。评标及评标中形成的文件资料一般应当在开、评标现场进行。</w:t>
      </w:r>
    </w:p>
    <w:p w14:paraId="383D806D">
      <w:pPr>
        <w:pStyle w:val="66"/>
        <w:ind w:firstLine="420" w:firstLineChars="0"/>
        <w:rPr>
          <w:rFonts w:hint="eastAsia" w:ascii="宋体" w:hAnsi="宋体" w:eastAsia="宋体" w:cs="宋体"/>
          <w:sz w:val="21"/>
          <w:szCs w:val="21"/>
        </w:rPr>
      </w:pPr>
      <w:r>
        <w:rPr>
          <w:rFonts w:hint="eastAsia" w:ascii="宋体" w:hAnsi="宋体" w:eastAsia="宋体" w:cs="宋体"/>
          <w:sz w:val="21"/>
          <w:szCs w:val="21"/>
        </w:rPr>
        <w:t>4）评标结果审批：评标小组将评标情况、中标建议名单及理由形成评标报告，由招标管理小组按公司审批流程和权限审批确定中标单位。</w:t>
      </w:r>
    </w:p>
    <w:p w14:paraId="2DA42658">
      <w:pPr>
        <w:pStyle w:val="66"/>
        <w:ind w:firstLine="140" w:firstLineChars="67"/>
        <w:outlineLvl w:val="2"/>
        <w:rPr>
          <w:rFonts w:hint="eastAsia" w:ascii="宋体" w:hAnsi="宋体" w:eastAsia="宋体" w:cs="宋体"/>
          <w:sz w:val="21"/>
          <w:szCs w:val="21"/>
        </w:rPr>
      </w:pPr>
      <w:r>
        <w:rPr>
          <w:rFonts w:hint="eastAsia" w:ascii="宋体" w:hAnsi="宋体" w:eastAsia="宋体" w:cs="宋体"/>
          <w:sz w:val="21"/>
          <w:szCs w:val="21"/>
        </w:rPr>
        <w:t>2.4评标原则和规定</w:t>
      </w:r>
    </w:p>
    <w:p w14:paraId="5D063856">
      <w:pPr>
        <w:pStyle w:val="66"/>
        <w:ind w:firstLine="420" w:firstLineChars="0"/>
        <w:rPr>
          <w:rFonts w:hint="eastAsia" w:ascii="宋体" w:hAnsi="宋体" w:eastAsia="宋体" w:cs="宋体"/>
          <w:sz w:val="21"/>
          <w:szCs w:val="21"/>
        </w:rPr>
      </w:pPr>
      <w:r>
        <w:rPr>
          <w:rFonts w:hint="eastAsia" w:ascii="宋体" w:hAnsi="宋体" w:eastAsia="宋体" w:cs="宋体"/>
          <w:sz w:val="21"/>
          <w:szCs w:val="21"/>
        </w:rPr>
        <w:t>1）竞标文件不符合要求的或竞标方不符合竞标资格的，评标小组将直接确认为“废标”，并取消竞标方资格。</w:t>
      </w:r>
    </w:p>
    <w:p w14:paraId="5774B171">
      <w:pPr>
        <w:pStyle w:val="66"/>
        <w:numPr>
          <w:ilvl w:val="0"/>
          <w:numId w:val="8"/>
        </w:numPr>
        <w:ind w:firstLineChars="0"/>
        <w:rPr>
          <w:rFonts w:hint="eastAsia" w:ascii="宋体" w:hAnsi="宋体" w:eastAsia="宋体" w:cs="宋体"/>
          <w:sz w:val="21"/>
          <w:szCs w:val="21"/>
        </w:rPr>
      </w:pPr>
      <w:r>
        <w:rPr>
          <w:rFonts w:hint="eastAsia" w:ascii="宋体" w:hAnsi="宋体" w:eastAsia="宋体" w:cs="宋体"/>
          <w:sz w:val="21"/>
          <w:szCs w:val="21"/>
        </w:rPr>
        <w:t>评标对所有竞标单位采用相同的程序和标准进行。</w:t>
      </w:r>
    </w:p>
    <w:p w14:paraId="47E8B7C5">
      <w:pPr>
        <w:pStyle w:val="66"/>
        <w:numPr>
          <w:ilvl w:val="0"/>
          <w:numId w:val="8"/>
        </w:numPr>
        <w:ind w:firstLineChars="0"/>
        <w:rPr>
          <w:rFonts w:hint="eastAsia" w:ascii="宋体" w:hAnsi="宋体" w:eastAsia="宋体" w:cs="宋体"/>
          <w:sz w:val="21"/>
          <w:szCs w:val="21"/>
        </w:rPr>
      </w:pPr>
      <w:r>
        <w:rPr>
          <w:rFonts w:hint="eastAsia" w:ascii="宋体" w:hAnsi="宋体" w:eastAsia="宋体" w:cs="宋体"/>
          <w:sz w:val="21"/>
          <w:szCs w:val="21"/>
        </w:rPr>
        <w:t>评标工作小组将保守竞标文件中属于竞标单位的商业秘密。</w:t>
      </w:r>
    </w:p>
    <w:p w14:paraId="09F04055">
      <w:pPr>
        <w:pStyle w:val="66"/>
        <w:ind w:left="420" w:firstLine="0" w:firstLineChars="0"/>
        <w:rPr>
          <w:rFonts w:hint="eastAsia" w:ascii="宋体" w:hAnsi="宋体" w:eastAsia="宋体" w:cs="宋体"/>
          <w:sz w:val="21"/>
          <w:szCs w:val="21"/>
        </w:rPr>
      </w:pPr>
      <w:r>
        <w:rPr>
          <w:rFonts w:hint="eastAsia" w:ascii="宋体" w:hAnsi="宋体" w:eastAsia="宋体" w:cs="宋体"/>
          <w:sz w:val="21"/>
          <w:szCs w:val="21"/>
        </w:rPr>
        <w:t>4）评标工作小组要求竞标单位就竞标文件中含义不明确的内容进行必要的澄清、说明时，竞标单位必须按评标工作小组规定的时间和形式给予答复，但不得对竞标内容进行实质性变更。</w:t>
      </w:r>
    </w:p>
    <w:p w14:paraId="5B92573D">
      <w:pPr>
        <w:pStyle w:val="66"/>
        <w:ind w:firstLine="420" w:firstLineChars="0"/>
        <w:rPr>
          <w:rFonts w:hint="eastAsia" w:ascii="宋体" w:hAnsi="宋体" w:eastAsia="宋体" w:cs="宋体"/>
          <w:sz w:val="21"/>
          <w:szCs w:val="21"/>
        </w:rPr>
      </w:pPr>
      <w:r>
        <w:rPr>
          <w:rFonts w:hint="eastAsia" w:ascii="宋体" w:hAnsi="宋体" w:eastAsia="宋体" w:cs="宋体"/>
          <w:sz w:val="21"/>
          <w:szCs w:val="21"/>
        </w:rPr>
        <w:t>5）竞标单位不得在最终评标结果公布前向评标工作小组成员询问情况，不得向评标工作小组成员赠送礼金、礼物或给予各种形式利益的承诺，否则将被取消本次及今后我司一切招标项目的竞标资格。</w:t>
      </w:r>
    </w:p>
    <w:p w14:paraId="2477801C">
      <w:pPr>
        <w:pStyle w:val="66"/>
        <w:ind w:firstLine="420" w:firstLineChars="0"/>
        <w:rPr>
          <w:rFonts w:hint="eastAsia" w:ascii="宋体" w:hAnsi="宋体" w:eastAsia="宋体" w:cs="宋体"/>
          <w:sz w:val="21"/>
          <w:szCs w:val="21"/>
        </w:rPr>
      </w:pPr>
      <w:r>
        <w:rPr>
          <w:rFonts w:hint="eastAsia" w:ascii="宋体" w:hAnsi="宋体" w:eastAsia="宋体" w:cs="宋体"/>
          <w:sz w:val="21"/>
          <w:szCs w:val="21"/>
        </w:rPr>
        <w:t>6）竞标单位不得相互串通报价，不得排挤其它竞标单位的公平竞争，否则将被取消本次及今后我司一切招标项目的竞标资格。</w:t>
      </w:r>
    </w:p>
    <w:p w14:paraId="65436F76">
      <w:pPr>
        <w:pStyle w:val="68"/>
        <w:ind w:firstLine="0" w:firstLineChars="0"/>
        <w:outlineLvl w:val="1"/>
        <w:rPr>
          <w:rFonts w:hint="eastAsia" w:ascii="宋体" w:hAnsi="宋体" w:eastAsia="宋体" w:cs="宋体"/>
          <w:sz w:val="21"/>
          <w:szCs w:val="21"/>
        </w:rPr>
      </w:pPr>
      <w:r>
        <w:rPr>
          <w:rFonts w:hint="eastAsia" w:ascii="宋体" w:hAnsi="宋体" w:eastAsia="宋体" w:cs="宋体"/>
          <w:sz w:val="21"/>
          <w:szCs w:val="21"/>
        </w:rPr>
        <w:t>3、确定中标方</w:t>
      </w:r>
    </w:p>
    <w:p w14:paraId="27F66D6D">
      <w:pPr>
        <w:pStyle w:val="66"/>
        <w:ind w:firstLineChars="0"/>
        <w:rPr>
          <w:rFonts w:hint="eastAsia" w:ascii="宋体" w:hAnsi="宋体" w:eastAsia="宋体" w:cs="宋体"/>
          <w:sz w:val="21"/>
          <w:szCs w:val="21"/>
        </w:rPr>
      </w:pPr>
      <w:r>
        <w:rPr>
          <w:rFonts w:hint="eastAsia" w:ascii="宋体" w:hAnsi="宋体" w:eastAsia="宋体" w:cs="宋体"/>
          <w:sz w:val="21"/>
          <w:szCs w:val="21"/>
        </w:rPr>
        <w:t>3.1评标小组成员经过竞标文件审查及内容质询后，对竞标单位的方案、竞标报价、性能描述、售后服务及资质等方面采用综合评价法评标。</w:t>
      </w:r>
    </w:p>
    <w:p w14:paraId="6E68DDBB">
      <w:pPr>
        <w:pStyle w:val="66"/>
        <w:ind w:firstLineChars="0"/>
        <w:outlineLvl w:val="2"/>
        <w:rPr>
          <w:rFonts w:hint="eastAsia" w:ascii="宋体" w:hAnsi="宋体" w:eastAsia="宋体" w:cs="宋体"/>
          <w:sz w:val="21"/>
          <w:szCs w:val="21"/>
        </w:rPr>
      </w:pPr>
      <w:r>
        <w:rPr>
          <w:rFonts w:hint="eastAsia" w:ascii="宋体" w:hAnsi="宋体" w:eastAsia="宋体" w:cs="宋体"/>
          <w:sz w:val="21"/>
          <w:szCs w:val="21"/>
        </w:rPr>
        <w:t>3.2结标</w:t>
      </w:r>
    </w:p>
    <w:p w14:paraId="601C6208">
      <w:pPr>
        <w:pStyle w:val="66"/>
        <w:numPr>
          <w:ilvl w:val="0"/>
          <w:numId w:val="9"/>
        </w:numPr>
        <w:ind w:firstLineChars="0"/>
        <w:rPr>
          <w:rFonts w:hint="eastAsia" w:ascii="宋体" w:hAnsi="宋体" w:eastAsia="宋体" w:cs="宋体"/>
          <w:sz w:val="21"/>
          <w:szCs w:val="21"/>
        </w:rPr>
      </w:pPr>
      <w:r>
        <w:rPr>
          <w:rFonts w:hint="eastAsia" w:ascii="宋体" w:hAnsi="宋体" w:eastAsia="宋体" w:cs="宋体"/>
          <w:sz w:val="21"/>
          <w:szCs w:val="21"/>
        </w:rPr>
        <w:t>按招标单位审批流程和权限审批确定中标单位。</w:t>
      </w:r>
    </w:p>
    <w:p w14:paraId="7A2366A0">
      <w:pPr>
        <w:pStyle w:val="66"/>
        <w:numPr>
          <w:ilvl w:val="0"/>
          <w:numId w:val="9"/>
        </w:numPr>
        <w:ind w:firstLineChars="0"/>
        <w:rPr>
          <w:rFonts w:hint="eastAsia" w:ascii="宋体" w:hAnsi="宋体" w:eastAsia="宋体" w:cs="宋体"/>
          <w:sz w:val="21"/>
          <w:szCs w:val="21"/>
        </w:rPr>
      </w:pPr>
      <w:r>
        <w:rPr>
          <w:rFonts w:hint="eastAsia" w:ascii="宋体" w:hAnsi="宋体" w:eastAsia="宋体" w:cs="宋体"/>
          <w:sz w:val="21"/>
          <w:szCs w:val="21"/>
        </w:rPr>
        <w:t>招标结果由招标单位管理小组邮件和电话通知。招标方不向落标方解释落标原因并不退还竞标文件。</w:t>
      </w:r>
    </w:p>
    <w:p w14:paraId="0D8E1B11">
      <w:pPr>
        <w:pStyle w:val="66"/>
        <w:ind w:left="200" w:firstLine="0" w:firstLineChars="0"/>
        <w:rPr>
          <w:rFonts w:hint="eastAsia" w:ascii="宋体" w:hAnsi="宋体" w:eastAsia="宋体" w:cs="宋体"/>
          <w:sz w:val="21"/>
          <w:szCs w:val="21"/>
        </w:rPr>
      </w:pPr>
      <w:r>
        <w:rPr>
          <w:rFonts w:hint="eastAsia" w:ascii="宋体" w:hAnsi="宋体" w:eastAsia="宋体" w:cs="宋体"/>
          <w:sz w:val="21"/>
          <w:szCs w:val="21"/>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14:paraId="4F3B8A25">
      <w:pPr>
        <w:pStyle w:val="68"/>
        <w:ind w:firstLine="0" w:firstLineChars="0"/>
        <w:outlineLvl w:val="1"/>
        <w:rPr>
          <w:rFonts w:hint="eastAsia" w:ascii="宋体" w:hAnsi="宋体" w:eastAsia="宋体" w:cs="宋体"/>
          <w:sz w:val="21"/>
          <w:szCs w:val="21"/>
        </w:rPr>
      </w:pPr>
      <w:r>
        <w:rPr>
          <w:rFonts w:hint="eastAsia" w:ascii="宋体" w:hAnsi="宋体" w:eastAsia="宋体" w:cs="宋体"/>
          <w:sz w:val="21"/>
          <w:szCs w:val="21"/>
        </w:rPr>
        <w:t>4、竞标费用</w:t>
      </w:r>
    </w:p>
    <w:p w14:paraId="30473590">
      <w:pPr>
        <w:pStyle w:val="66"/>
        <w:ind w:firstLine="210" w:firstLineChars="100"/>
        <w:rPr>
          <w:rFonts w:hint="eastAsia" w:ascii="宋体" w:hAnsi="宋体" w:eastAsia="宋体" w:cs="宋体"/>
          <w:sz w:val="21"/>
          <w:szCs w:val="21"/>
        </w:rPr>
      </w:pPr>
      <w:r>
        <w:rPr>
          <w:rFonts w:hint="eastAsia" w:ascii="宋体" w:hAnsi="宋体" w:eastAsia="宋体" w:cs="宋体"/>
          <w:sz w:val="21"/>
          <w:szCs w:val="21"/>
        </w:rPr>
        <w:t>竞标方应承担所有与准备和参加竞标有关的费用，不论竞标的结果如何，所有费用均由竞标方承担。</w:t>
      </w:r>
    </w:p>
    <w:p w14:paraId="14EE8BF0">
      <w:pPr>
        <w:pStyle w:val="68"/>
        <w:numPr>
          <w:ilvl w:val="0"/>
          <w:numId w:val="10"/>
        </w:numPr>
        <w:ind w:firstLineChars="0"/>
        <w:outlineLvl w:val="1"/>
        <w:rPr>
          <w:rFonts w:hint="eastAsia" w:ascii="宋体" w:hAnsi="宋体" w:eastAsia="宋体" w:cs="宋体"/>
          <w:sz w:val="21"/>
          <w:szCs w:val="21"/>
        </w:rPr>
      </w:pPr>
      <w:r>
        <w:rPr>
          <w:rFonts w:hint="eastAsia" w:ascii="宋体" w:hAnsi="宋体" w:eastAsia="宋体" w:cs="宋体"/>
          <w:sz w:val="21"/>
          <w:szCs w:val="21"/>
        </w:rPr>
        <w:t>授予合同</w:t>
      </w:r>
    </w:p>
    <w:p w14:paraId="4F64658C">
      <w:pPr>
        <w:pStyle w:val="66"/>
        <w:ind w:firstLine="360" w:firstLineChars="0"/>
        <w:rPr>
          <w:rFonts w:hint="eastAsia" w:ascii="宋体" w:hAnsi="宋体" w:eastAsia="宋体" w:cs="宋体"/>
          <w:sz w:val="21"/>
          <w:szCs w:val="21"/>
        </w:rPr>
      </w:pPr>
      <w:r>
        <w:rPr>
          <w:rFonts w:hint="eastAsia" w:ascii="宋体" w:hAnsi="宋体" w:eastAsia="宋体" w:cs="宋体"/>
          <w:sz w:val="21"/>
          <w:szCs w:val="21"/>
        </w:rPr>
        <w:t>5.1中标通知：根据定标结果，招标人将向中标人发出《中标通知书》。</w:t>
      </w:r>
    </w:p>
    <w:p w14:paraId="27EDEFD6">
      <w:pPr>
        <w:pStyle w:val="66"/>
        <w:ind w:left="360" w:firstLine="0" w:firstLineChars="0"/>
        <w:outlineLvl w:val="2"/>
        <w:rPr>
          <w:rFonts w:hint="eastAsia" w:ascii="宋体" w:hAnsi="宋体" w:eastAsia="宋体" w:cs="宋体"/>
          <w:sz w:val="21"/>
          <w:szCs w:val="21"/>
        </w:rPr>
      </w:pPr>
      <w:r>
        <w:rPr>
          <w:rFonts w:hint="eastAsia" w:ascii="宋体" w:hAnsi="宋体" w:eastAsia="宋体" w:cs="宋体"/>
          <w:sz w:val="21"/>
          <w:szCs w:val="21"/>
        </w:rPr>
        <w:t>5.2 签约</w:t>
      </w:r>
    </w:p>
    <w:p w14:paraId="326AD000">
      <w:pPr>
        <w:pStyle w:val="66"/>
        <w:ind w:left="360" w:firstLine="0" w:firstLineChars="0"/>
        <w:rPr>
          <w:rFonts w:hint="eastAsia" w:ascii="宋体" w:hAnsi="宋体" w:eastAsia="宋体" w:cs="宋体"/>
          <w:sz w:val="21"/>
          <w:szCs w:val="21"/>
        </w:rPr>
      </w:pPr>
      <w:r>
        <w:rPr>
          <w:rFonts w:hint="eastAsia" w:ascii="宋体" w:hAnsi="宋体" w:eastAsia="宋体" w:cs="宋体"/>
          <w:sz w:val="21"/>
          <w:szCs w:val="21"/>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由此给招标人造成的全部损失由中标人承担。</w:t>
      </w:r>
    </w:p>
    <w:p w14:paraId="4E335507">
      <w:pPr>
        <w:pStyle w:val="66"/>
        <w:ind w:left="360" w:firstLine="0" w:firstLineChars="0"/>
        <w:rPr>
          <w:rFonts w:hint="eastAsia" w:ascii="宋体" w:hAnsi="宋体" w:eastAsia="宋体" w:cs="宋体"/>
          <w:sz w:val="21"/>
          <w:szCs w:val="21"/>
        </w:rPr>
      </w:pPr>
      <w:r>
        <w:rPr>
          <w:rFonts w:hint="eastAsia" w:ascii="宋体" w:hAnsi="宋体" w:eastAsia="宋体" w:cs="宋体"/>
          <w:sz w:val="21"/>
          <w:szCs w:val="21"/>
        </w:rPr>
        <w:t>5.2.2合同签订时或合同生效后，招标人有权按竞标书各项内容/单价增加或减少任何一项或多项的数量，合同内容/价格可做相应调整</w:t>
      </w:r>
      <w:r>
        <w:rPr>
          <w:rFonts w:hint="eastAsia" w:ascii="宋体" w:hAnsi="宋体" w:eastAsia="宋体" w:cs="宋体"/>
          <w:kern w:val="0"/>
          <w:sz w:val="21"/>
          <w:szCs w:val="21"/>
        </w:rPr>
        <w:t>，不视为对招投标文件内容的实质性变更</w:t>
      </w:r>
      <w:r>
        <w:rPr>
          <w:rFonts w:hint="eastAsia" w:ascii="宋体" w:hAnsi="宋体" w:eastAsia="宋体" w:cs="宋体"/>
          <w:sz w:val="21"/>
          <w:szCs w:val="21"/>
        </w:rPr>
        <w:t>。</w:t>
      </w:r>
    </w:p>
    <w:p w14:paraId="36BBE4D9">
      <w:pPr>
        <w:pStyle w:val="66"/>
        <w:ind w:left="360" w:firstLine="0" w:firstLineChars="0"/>
        <w:rPr>
          <w:rFonts w:hint="eastAsia" w:ascii="宋体" w:hAnsi="宋体" w:eastAsia="宋体" w:cs="宋体"/>
          <w:sz w:val="21"/>
          <w:szCs w:val="21"/>
        </w:rPr>
      </w:pPr>
      <w:r>
        <w:rPr>
          <w:rFonts w:hint="eastAsia" w:ascii="宋体" w:hAnsi="宋体" w:eastAsia="宋体" w:cs="宋体"/>
          <w:sz w:val="21"/>
          <w:szCs w:val="21"/>
        </w:rPr>
        <w:t>5.2.3在合同签订后，招标人有权提出因规范标准、规程发生变化而产生的一些补充要求，竞标人应按这些要求执行。</w:t>
      </w:r>
    </w:p>
    <w:p w14:paraId="28F43F1B">
      <w:pPr>
        <w:pStyle w:val="66"/>
        <w:ind w:left="360" w:firstLine="0" w:firstLineChars="0"/>
        <w:rPr>
          <w:rFonts w:hint="eastAsia" w:ascii="宋体" w:hAnsi="宋体" w:eastAsia="宋体" w:cs="宋体"/>
          <w:sz w:val="21"/>
          <w:szCs w:val="21"/>
        </w:rPr>
      </w:pPr>
      <w:r>
        <w:rPr>
          <w:rFonts w:hint="eastAsia" w:ascii="宋体" w:hAnsi="宋体" w:eastAsia="宋体" w:cs="宋体"/>
          <w:sz w:val="21"/>
          <w:szCs w:val="21"/>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66E546B6">
      <w:pPr>
        <w:pStyle w:val="66"/>
        <w:ind w:left="360" w:firstLine="0" w:firstLineChars="0"/>
        <w:rPr>
          <w:rFonts w:hint="eastAsia" w:ascii="宋体" w:hAnsi="宋体" w:eastAsia="宋体" w:cs="宋体"/>
          <w:sz w:val="21"/>
          <w:szCs w:val="21"/>
        </w:rPr>
      </w:pPr>
      <w:r>
        <w:rPr>
          <w:rFonts w:hint="eastAsia" w:ascii="宋体" w:hAnsi="宋体" w:eastAsia="宋体" w:cs="宋体"/>
          <w:sz w:val="21"/>
          <w:szCs w:val="21"/>
        </w:rPr>
        <w:t>5.2.5 在签约过程中或合同生效后，招标人有权对招标文件中规定的</w:t>
      </w:r>
      <w:r>
        <w:rPr>
          <w:rFonts w:hint="eastAsia" w:ascii="宋体" w:hAnsi="宋体" w:eastAsia="宋体" w:cs="宋体"/>
          <w:sz w:val="21"/>
          <w:szCs w:val="21"/>
          <w:lang w:val="en-US" w:eastAsia="zh-CN"/>
        </w:rPr>
        <w:t>服务量</w:t>
      </w:r>
      <w:r>
        <w:rPr>
          <w:rFonts w:hint="eastAsia" w:ascii="宋体" w:hAnsi="宋体" w:eastAsia="宋体" w:cs="宋体"/>
          <w:sz w:val="21"/>
          <w:szCs w:val="21"/>
        </w:rPr>
        <w:t>和</w:t>
      </w:r>
      <w:r>
        <w:rPr>
          <w:rFonts w:hint="eastAsia" w:ascii="宋体" w:hAnsi="宋体" w:eastAsia="宋体" w:cs="宋体"/>
          <w:sz w:val="21"/>
          <w:szCs w:val="21"/>
          <w:lang w:val="en-US" w:eastAsia="zh-CN"/>
        </w:rPr>
        <w:t>服务</w:t>
      </w:r>
      <w:r>
        <w:rPr>
          <w:rFonts w:hint="eastAsia" w:ascii="宋体" w:hAnsi="宋体" w:eastAsia="宋体" w:cs="宋体"/>
          <w:sz w:val="21"/>
          <w:szCs w:val="21"/>
        </w:rPr>
        <w:t>范围进行适当变动和局部增减，相关价格变动将酌情考虑。但如果发生由于竞标人的报价失误而导致的价格变动，招标人将不予接受。</w:t>
      </w:r>
    </w:p>
    <w:p w14:paraId="24D1499E">
      <w:pPr>
        <w:spacing w:line="360" w:lineRule="auto"/>
        <w:rPr>
          <w:rFonts w:ascii="宋体" w:hAnsi="宋体" w:eastAsia="宋体" w:cs="宋体"/>
          <w:b/>
          <w:bCs/>
          <w:sz w:val="32"/>
          <w:szCs w:val="32"/>
        </w:rPr>
      </w:pPr>
      <w:r>
        <w:rPr>
          <w:rFonts w:hint="eastAsia" w:ascii="宋体" w:hAnsi="宋体" w:eastAsia="宋体" w:cs="宋体"/>
          <w:b/>
          <w:bCs/>
          <w:sz w:val="32"/>
          <w:szCs w:val="32"/>
        </w:rPr>
        <w:br w:type="page"/>
      </w:r>
    </w:p>
    <w:p w14:paraId="680D5877">
      <w:pPr>
        <w:jc w:val="center"/>
        <w:rPr>
          <w:rFonts w:hint="eastAsia" w:ascii="宋体" w:hAnsi="宋体" w:eastAsia="宋体" w:cs="宋体"/>
          <w:b/>
          <w:bCs/>
          <w:sz w:val="32"/>
          <w:szCs w:val="32"/>
          <w:lang w:eastAsia="zh-CN"/>
        </w:rPr>
      </w:pPr>
      <w:bookmarkStart w:id="12" w:name="_Toc115362583"/>
      <w:bookmarkStart w:id="13" w:name="_Toc115362486"/>
      <w:bookmarkStart w:id="14" w:name="_Toc115362802"/>
      <w:r>
        <w:rPr>
          <w:rFonts w:hint="eastAsia" w:ascii="宋体" w:hAnsi="宋体" w:eastAsia="宋体" w:cs="宋体"/>
          <w:b/>
          <w:bCs/>
          <w:sz w:val="32"/>
          <w:szCs w:val="32"/>
        </w:rPr>
        <w:t>*第四章 技术要求</w:t>
      </w:r>
      <w:bookmarkEnd w:id="12"/>
      <w:bookmarkEnd w:id="13"/>
      <w:bookmarkEnd w:id="14"/>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详附件</w:t>
      </w:r>
      <w:r>
        <w:rPr>
          <w:rFonts w:hint="eastAsia" w:ascii="宋体" w:hAnsi="宋体" w:eastAsia="宋体" w:cs="宋体"/>
          <w:b/>
          <w:bCs/>
          <w:sz w:val="32"/>
          <w:szCs w:val="32"/>
          <w:lang w:eastAsia="zh-CN"/>
        </w:rPr>
        <w:t>）</w:t>
      </w:r>
    </w:p>
    <w:p w14:paraId="28AAF203">
      <w:pPr>
        <w:pStyle w:val="2"/>
        <w:rPr>
          <w:rFonts w:hint="eastAsia" w:ascii="宋体" w:hAnsi="宋体" w:eastAsia="宋体" w:cs="宋体"/>
          <w:b/>
          <w:bCs/>
          <w:sz w:val="32"/>
          <w:szCs w:val="32"/>
          <w:lang w:eastAsia="zh-CN"/>
        </w:rPr>
      </w:pPr>
    </w:p>
    <w:p w14:paraId="3A8D5125">
      <w:pPr>
        <w:rPr>
          <w:rFonts w:hint="eastAsia" w:ascii="宋体" w:hAnsi="宋体" w:eastAsia="宋体" w:cs="宋体"/>
          <w:b/>
          <w:bCs/>
          <w:sz w:val="32"/>
          <w:szCs w:val="32"/>
          <w:lang w:eastAsia="zh-CN"/>
        </w:rPr>
      </w:pPr>
    </w:p>
    <w:p w14:paraId="1F854191">
      <w:pPr>
        <w:pStyle w:val="2"/>
        <w:rPr>
          <w:rFonts w:hint="eastAsia" w:ascii="宋体" w:hAnsi="宋体" w:eastAsia="宋体" w:cs="宋体"/>
          <w:b/>
          <w:bCs/>
          <w:sz w:val="32"/>
          <w:szCs w:val="32"/>
          <w:lang w:eastAsia="zh-CN"/>
        </w:rPr>
      </w:pPr>
    </w:p>
    <w:p w14:paraId="3848E746">
      <w:pPr>
        <w:rPr>
          <w:rFonts w:hint="eastAsia" w:ascii="宋体" w:hAnsi="宋体" w:eastAsia="宋体" w:cs="宋体"/>
          <w:b/>
          <w:bCs/>
          <w:sz w:val="32"/>
          <w:szCs w:val="32"/>
          <w:lang w:eastAsia="zh-CN"/>
        </w:rPr>
      </w:pPr>
    </w:p>
    <w:p w14:paraId="395D8033">
      <w:pPr>
        <w:pStyle w:val="2"/>
        <w:rPr>
          <w:rFonts w:hint="eastAsia" w:ascii="宋体" w:hAnsi="宋体" w:eastAsia="宋体" w:cs="宋体"/>
          <w:b/>
          <w:bCs/>
          <w:sz w:val="32"/>
          <w:szCs w:val="32"/>
          <w:lang w:eastAsia="zh-CN"/>
        </w:rPr>
      </w:pPr>
    </w:p>
    <w:p w14:paraId="1020E8A2">
      <w:pPr>
        <w:rPr>
          <w:rFonts w:hint="eastAsia" w:ascii="宋体" w:hAnsi="宋体" w:eastAsia="宋体" w:cs="宋体"/>
          <w:b/>
          <w:bCs/>
          <w:sz w:val="32"/>
          <w:szCs w:val="32"/>
          <w:lang w:eastAsia="zh-CN"/>
        </w:rPr>
      </w:pPr>
    </w:p>
    <w:p w14:paraId="159D2C7C">
      <w:pPr>
        <w:pStyle w:val="2"/>
        <w:rPr>
          <w:rFonts w:hint="eastAsia" w:ascii="宋体" w:hAnsi="宋体" w:eastAsia="宋体" w:cs="宋体"/>
          <w:b/>
          <w:bCs/>
          <w:sz w:val="32"/>
          <w:szCs w:val="32"/>
          <w:lang w:eastAsia="zh-CN"/>
        </w:rPr>
      </w:pPr>
    </w:p>
    <w:p w14:paraId="12F8915B">
      <w:pPr>
        <w:rPr>
          <w:rFonts w:hint="eastAsia" w:ascii="宋体" w:hAnsi="宋体" w:eastAsia="宋体" w:cs="宋体"/>
          <w:b/>
          <w:bCs/>
          <w:sz w:val="32"/>
          <w:szCs w:val="32"/>
          <w:lang w:eastAsia="zh-CN"/>
        </w:rPr>
      </w:pPr>
    </w:p>
    <w:p w14:paraId="4FE6DEB7">
      <w:pPr>
        <w:pStyle w:val="2"/>
        <w:rPr>
          <w:rFonts w:hint="eastAsia" w:ascii="宋体" w:hAnsi="宋体" w:eastAsia="宋体" w:cs="宋体"/>
          <w:b/>
          <w:bCs/>
          <w:sz w:val="32"/>
          <w:szCs w:val="32"/>
          <w:lang w:eastAsia="zh-CN"/>
        </w:rPr>
      </w:pPr>
    </w:p>
    <w:p w14:paraId="51F5DCB2">
      <w:pPr>
        <w:rPr>
          <w:rFonts w:hint="eastAsia" w:ascii="宋体" w:hAnsi="宋体" w:eastAsia="宋体" w:cs="宋体"/>
          <w:b/>
          <w:bCs/>
          <w:sz w:val="32"/>
          <w:szCs w:val="32"/>
          <w:lang w:eastAsia="zh-CN"/>
        </w:rPr>
      </w:pPr>
    </w:p>
    <w:p w14:paraId="33B84AD1">
      <w:pPr>
        <w:pStyle w:val="2"/>
        <w:rPr>
          <w:rFonts w:hint="eastAsia" w:ascii="宋体" w:hAnsi="宋体" w:eastAsia="宋体" w:cs="宋体"/>
          <w:b/>
          <w:bCs/>
          <w:sz w:val="32"/>
          <w:szCs w:val="32"/>
          <w:lang w:eastAsia="zh-CN"/>
        </w:rPr>
      </w:pPr>
    </w:p>
    <w:p w14:paraId="58DDBA71">
      <w:pPr>
        <w:rPr>
          <w:rFonts w:hint="eastAsia" w:ascii="宋体" w:hAnsi="宋体" w:eastAsia="宋体" w:cs="宋体"/>
          <w:b/>
          <w:bCs/>
          <w:sz w:val="32"/>
          <w:szCs w:val="32"/>
          <w:lang w:eastAsia="zh-CN"/>
        </w:rPr>
      </w:pPr>
    </w:p>
    <w:p w14:paraId="106D39FF">
      <w:pPr>
        <w:pStyle w:val="2"/>
        <w:rPr>
          <w:rFonts w:hint="eastAsia" w:ascii="宋体" w:hAnsi="宋体" w:eastAsia="宋体" w:cs="宋体"/>
          <w:b/>
          <w:bCs/>
          <w:sz w:val="32"/>
          <w:szCs w:val="32"/>
          <w:lang w:eastAsia="zh-CN"/>
        </w:rPr>
      </w:pPr>
    </w:p>
    <w:p w14:paraId="587EDD1C">
      <w:pPr>
        <w:rPr>
          <w:rFonts w:hint="eastAsia" w:ascii="宋体" w:hAnsi="宋体" w:eastAsia="宋体" w:cs="宋体"/>
          <w:b/>
          <w:bCs/>
          <w:sz w:val="32"/>
          <w:szCs w:val="32"/>
          <w:lang w:eastAsia="zh-CN"/>
        </w:rPr>
      </w:pPr>
    </w:p>
    <w:p w14:paraId="70FFA5B8">
      <w:pPr>
        <w:pStyle w:val="2"/>
        <w:rPr>
          <w:rFonts w:hint="eastAsia" w:ascii="宋体" w:hAnsi="宋体" w:eastAsia="宋体" w:cs="宋体"/>
          <w:b/>
          <w:bCs/>
          <w:sz w:val="32"/>
          <w:szCs w:val="32"/>
          <w:lang w:eastAsia="zh-CN"/>
        </w:rPr>
      </w:pPr>
    </w:p>
    <w:p w14:paraId="639C7267">
      <w:pPr>
        <w:rPr>
          <w:rFonts w:hint="eastAsia" w:ascii="宋体" w:hAnsi="宋体" w:eastAsia="宋体" w:cs="宋体"/>
          <w:b/>
          <w:bCs/>
          <w:sz w:val="32"/>
          <w:szCs w:val="32"/>
          <w:lang w:eastAsia="zh-CN"/>
        </w:rPr>
      </w:pPr>
    </w:p>
    <w:p w14:paraId="1E3AF422">
      <w:pPr>
        <w:pStyle w:val="2"/>
        <w:rPr>
          <w:rFonts w:hint="eastAsia" w:ascii="宋体" w:hAnsi="宋体" w:eastAsia="宋体" w:cs="宋体"/>
          <w:b/>
          <w:bCs/>
          <w:sz w:val="32"/>
          <w:szCs w:val="32"/>
          <w:lang w:eastAsia="zh-CN"/>
        </w:rPr>
      </w:pPr>
    </w:p>
    <w:p w14:paraId="0AB6CC0E">
      <w:pPr>
        <w:rPr>
          <w:rFonts w:hint="eastAsia" w:ascii="宋体" w:hAnsi="宋体" w:eastAsia="宋体" w:cs="宋体"/>
          <w:b/>
          <w:bCs/>
          <w:sz w:val="32"/>
          <w:szCs w:val="32"/>
          <w:lang w:eastAsia="zh-CN"/>
        </w:rPr>
      </w:pPr>
    </w:p>
    <w:p w14:paraId="3B1BC887">
      <w:pPr>
        <w:pStyle w:val="2"/>
        <w:rPr>
          <w:rFonts w:hint="eastAsia" w:ascii="宋体" w:hAnsi="宋体" w:eastAsia="宋体" w:cs="宋体"/>
          <w:b/>
          <w:bCs/>
          <w:sz w:val="32"/>
          <w:szCs w:val="32"/>
          <w:lang w:eastAsia="zh-CN"/>
        </w:rPr>
      </w:pPr>
    </w:p>
    <w:p w14:paraId="0A7E7B81">
      <w:pPr>
        <w:rPr>
          <w:rFonts w:hint="eastAsia" w:ascii="宋体" w:hAnsi="宋体" w:eastAsia="宋体" w:cs="宋体"/>
          <w:b/>
          <w:bCs/>
          <w:sz w:val="32"/>
          <w:szCs w:val="32"/>
          <w:lang w:eastAsia="zh-CN"/>
        </w:rPr>
      </w:pPr>
    </w:p>
    <w:p w14:paraId="6252EA38">
      <w:pPr>
        <w:pStyle w:val="2"/>
        <w:rPr>
          <w:rFonts w:hint="eastAsia" w:ascii="宋体" w:hAnsi="宋体" w:eastAsia="宋体" w:cs="宋体"/>
          <w:b/>
          <w:bCs/>
          <w:sz w:val="32"/>
          <w:szCs w:val="32"/>
          <w:lang w:eastAsia="zh-CN"/>
        </w:rPr>
      </w:pPr>
    </w:p>
    <w:p w14:paraId="252BBCC9">
      <w:pPr>
        <w:rPr>
          <w:rFonts w:hint="eastAsia"/>
          <w:lang w:eastAsia="zh-CN"/>
        </w:rPr>
      </w:pPr>
    </w:p>
    <w:p w14:paraId="532E9554">
      <w:pPr>
        <w:pStyle w:val="64"/>
        <w:snapToGrid w:val="0"/>
        <w:spacing w:line="360" w:lineRule="auto"/>
        <w:ind w:left="960" w:firstLine="0" w:firstLineChars="0"/>
        <w:jc w:val="center"/>
        <w:outlineLvl w:val="0"/>
        <w:rPr>
          <w:rFonts w:ascii="宋体" w:hAnsi="宋体" w:eastAsia="宋体" w:cs="宋体"/>
          <w:b/>
          <w:bCs/>
          <w:sz w:val="32"/>
          <w:szCs w:val="32"/>
        </w:rPr>
      </w:pPr>
      <w:bookmarkStart w:id="15" w:name="_Toc115362584"/>
      <w:bookmarkStart w:id="16" w:name="_Toc115362487"/>
      <w:bookmarkStart w:id="17" w:name="_Toc115362803"/>
      <w:r>
        <w:rPr>
          <w:rFonts w:hint="eastAsia" w:ascii="宋体" w:hAnsi="宋体" w:eastAsia="宋体" w:cs="宋体"/>
          <w:b/>
          <w:bCs/>
          <w:sz w:val="32"/>
          <w:szCs w:val="32"/>
        </w:rPr>
        <w:t>第五章 附件</w:t>
      </w:r>
      <w:bookmarkEnd w:id="15"/>
      <w:bookmarkEnd w:id="16"/>
      <w:bookmarkEnd w:id="17"/>
    </w:p>
    <w:p w14:paraId="4BE23B45">
      <w:pPr>
        <w:pStyle w:val="68"/>
        <w:ind w:firstLine="0" w:firstLineChars="0"/>
        <w:outlineLvl w:val="1"/>
        <w:rPr>
          <w:rFonts w:ascii="宋体" w:hAnsi="宋体" w:eastAsia="宋体" w:cs="宋体"/>
        </w:rPr>
      </w:pPr>
      <w:r>
        <w:rPr>
          <w:rFonts w:hint="eastAsia" w:ascii="宋体" w:hAnsi="宋体" w:eastAsia="宋体" w:cs="宋体"/>
        </w:rPr>
        <w:t>*附件1</w:t>
      </w:r>
    </w:p>
    <w:p w14:paraId="40B972D4">
      <w:pPr>
        <w:pStyle w:val="66"/>
        <w:ind w:firstLine="4176" w:firstLineChars="1300"/>
        <w:outlineLvl w:val="1"/>
        <w:rPr>
          <w:rFonts w:ascii="宋体" w:hAnsi="宋体" w:eastAsia="宋体" w:cs="宋体"/>
          <w:b/>
          <w:sz w:val="32"/>
          <w:szCs w:val="32"/>
        </w:rPr>
      </w:pPr>
      <w:bookmarkStart w:id="18" w:name="_Toc115362585"/>
      <w:bookmarkStart w:id="19" w:name="_Toc115362488"/>
      <w:bookmarkStart w:id="20" w:name="_Toc115362804"/>
      <w:r>
        <w:rPr>
          <w:rFonts w:hint="eastAsia" w:ascii="宋体" w:hAnsi="宋体" w:eastAsia="宋体" w:cs="宋体"/>
          <w:b/>
          <w:sz w:val="32"/>
          <w:szCs w:val="32"/>
        </w:rPr>
        <w:t>竞标书</w:t>
      </w:r>
      <w:bookmarkEnd w:id="18"/>
      <w:bookmarkEnd w:id="19"/>
      <w:bookmarkEnd w:id="20"/>
    </w:p>
    <w:p w14:paraId="1BB1A14C">
      <w:pPr>
        <w:pStyle w:val="66"/>
        <w:ind w:firstLine="0" w:firstLineChars="0"/>
        <w:rPr>
          <w:rFonts w:ascii="宋体" w:hAnsi="宋体" w:eastAsia="宋体" w:cs="宋体"/>
        </w:rPr>
      </w:pPr>
    </w:p>
    <w:p w14:paraId="55382DF3">
      <w:pPr>
        <w:pStyle w:val="66"/>
        <w:ind w:firstLine="0" w:firstLineChars="0"/>
        <w:rPr>
          <w:rFonts w:ascii="宋体" w:hAnsi="宋体" w:eastAsia="宋体" w:cs="宋体"/>
        </w:rPr>
      </w:pPr>
      <w:r>
        <w:rPr>
          <w:rFonts w:hint="eastAsia" w:ascii="宋体" w:hAnsi="宋体" w:eastAsia="宋体" w:cs="宋体"/>
        </w:rPr>
        <w:t>眉山琏升光伏科技有限公司：</w:t>
      </w:r>
    </w:p>
    <w:p w14:paraId="3E7D4E2F">
      <w:pPr>
        <w:pStyle w:val="66"/>
        <w:ind w:firstLine="420"/>
        <w:rPr>
          <w:rFonts w:ascii="宋体" w:hAnsi="宋体" w:eastAsia="宋体" w:cs="宋体"/>
        </w:rPr>
      </w:pPr>
      <w:r>
        <w:rPr>
          <w:rFonts w:hint="eastAsia" w:ascii="宋体" w:hAnsi="宋体" w:eastAsia="宋体" w:cs="宋体"/>
        </w:rPr>
        <w:t>1、根据已收到</w:t>
      </w:r>
      <w:r>
        <w:rPr>
          <w:rFonts w:hint="eastAsia" w:ascii="宋体" w:hAnsi="宋体" w:eastAsia="宋体" w:cs="宋体"/>
          <w:u w:val="single"/>
        </w:rPr>
        <w:t xml:space="preserve">          </w:t>
      </w:r>
      <w:r>
        <w:rPr>
          <w:rFonts w:hint="eastAsia" w:ascii="宋体" w:hAnsi="宋体" w:eastAsia="宋体" w:cs="宋体"/>
        </w:rPr>
        <w:t>项目的招标文件，我方经阅读并研究上述项目招标文件的竞标须知、技术要求、进度要求及其它有关文件后，我方愿在满足招标文件中所列该项目项目技术和商务要求的前提下，承包该项目与物流运输相关的工作。</w:t>
      </w:r>
    </w:p>
    <w:p w14:paraId="0DAEE4BF">
      <w:pPr>
        <w:pStyle w:val="66"/>
        <w:ind w:firstLine="420"/>
        <w:rPr>
          <w:rFonts w:ascii="宋体" w:hAnsi="宋体" w:eastAsia="宋体" w:cs="宋体"/>
        </w:rPr>
      </w:pPr>
      <w:r>
        <w:rPr>
          <w:rFonts w:hint="eastAsia" w:ascii="宋体" w:hAnsi="宋体" w:eastAsia="宋体" w:cs="宋体"/>
        </w:rPr>
        <w:t>2、提供竞标须知中规定的全部竞标文件，其中商务标、技术标</w:t>
      </w:r>
      <w:r>
        <w:rPr>
          <w:rFonts w:hint="eastAsia" w:ascii="宋体" w:hAnsi="宋体" w:eastAsia="宋体" w:cs="宋体"/>
          <w:lang w:val="en-US" w:eastAsia="zh-CN"/>
        </w:rPr>
        <w:t>电子文件</w:t>
      </w:r>
      <w:r>
        <w:rPr>
          <w:rFonts w:hint="eastAsia" w:ascii="宋体" w:hAnsi="宋体" w:eastAsia="宋体" w:cs="宋体"/>
        </w:rPr>
        <w:t>一份，保密协议一份。</w:t>
      </w:r>
    </w:p>
    <w:p w14:paraId="5484191C">
      <w:pPr>
        <w:pStyle w:val="66"/>
        <w:ind w:firstLine="420"/>
        <w:rPr>
          <w:rFonts w:ascii="宋体" w:hAnsi="宋体" w:eastAsia="宋体" w:cs="宋体"/>
        </w:rPr>
      </w:pPr>
      <w:r>
        <w:rPr>
          <w:rFonts w:hint="eastAsia" w:ascii="宋体" w:hAnsi="宋体" w:eastAsia="宋体" w:cs="宋体"/>
        </w:rPr>
        <w:t>3、保证遵守竞争性谈判文件中的有关规定。</w:t>
      </w:r>
    </w:p>
    <w:p w14:paraId="0964B322">
      <w:pPr>
        <w:pStyle w:val="66"/>
        <w:ind w:firstLine="420"/>
        <w:rPr>
          <w:rFonts w:ascii="宋体" w:hAnsi="宋体" w:eastAsia="宋体" w:cs="宋体"/>
        </w:rPr>
      </w:pPr>
      <w:r>
        <w:rPr>
          <w:rFonts w:hint="eastAsia" w:ascii="宋体" w:hAnsi="宋体" w:eastAsia="宋体" w:cs="宋体"/>
        </w:rPr>
        <w:t>4、保证按《中华人民共和国民法典》履行合同规定的责任和义务。</w:t>
      </w:r>
    </w:p>
    <w:p w14:paraId="41D73793">
      <w:pPr>
        <w:pStyle w:val="66"/>
        <w:ind w:firstLine="420"/>
        <w:rPr>
          <w:rFonts w:ascii="宋体" w:hAnsi="宋体" w:eastAsia="宋体" w:cs="宋体"/>
        </w:rPr>
      </w:pPr>
      <w:r>
        <w:rPr>
          <w:rFonts w:hint="eastAsia" w:ascii="宋体" w:hAnsi="宋体" w:eastAsia="宋体" w:cs="宋体"/>
        </w:rPr>
        <w:t>5、愿意向贵方提供任何与该项目竞标有关的数据、情况和技术资料。</w:t>
      </w:r>
    </w:p>
    <w:p w14:paraId="5B290D89">
      <w:pPr>
        <w:pStyle w:val="66"/>
        <w:ind w:firstLine="420"/>
        <w:rPr>
          <w:rFonts w:ascii="宋体" w:hAnsi="宋体" w:eastAsia="宋体" w:cs="宋体"/>
        </w:rPr>
      </w:pPr>
      <w:r>
        <w:rPr>
          <w:rFonts w:hint="eastAsia" w:ascii="宋体" w:hAnsi="宋体" w:eastAsia="宋体" w:cs="宋体"/>
        </w:rPr>
        <w:t>6、一旦我方中标，我方保证在接到甲方通知之日起按照通知及甲方要求到场并完成对应工作，保证服务质量标准符合法律法规的规定、相关行业标准、招标方需求及投标文件等文件中的最高要求。</w:t>
      </w:r>
    </w:p>
    <w:p w14:paraId="6A2D1F66">
      <w:pPr>
        <w:pStyle w:val="66"/>
        <w:ind w:firstLine="420"/>
        <w:outlineLvl w:val="1"/>
        <w:rPr>
          <w:rFonts w:ascii="宋体" w:hAnsi="宋体" w:eastAsia="宋体" w:cs="宋体"/>
        </w:rPr>
      </w:pPr>
      <w:r>
        <w:rPr>
          <w:rFonts w:hint="eastAsia" w:ascii="宋体" w:hAnsi="宋体" w:eastAsia="宋体" w:cs="宋体"/>
        </w:rPr>
        <w:t>7、我方承诺对招标文件的全部偏差，均在投标文件的商务和技术偏离表中列明，除列明内容外，我方全部响应竞争性谈判文件的全部要求。</w:t>
      </w:r>
    </w:p>
    <w:p w14:paraId="42EEE2E2">
      <w:pPr>
        <w:pStyle w:val="66"/>
        <w:ind w:firstLine="420"/>
        <w:outlineLvl w:val="1"/>
        <w:rPr>
          <w:rFonts w:ascii="宋体" w:hAnsi="宋体" w:eastAsia="宋体" w:cs="宋体"/>
        </w:rPr>
      </w:pPr>
      <w:r>
        <w:rPr>
          <w:rFonts w:hint="eastAsia" w:ascii="宋体" w:hAnsi="宋体" w:eastAsia="宋体" w:cs="宋体"/>
        </w:rPr>
        <w:t>8、无论中标与否，我方愿意承担竞标过程的所有费用。</w:t>
      </w:r>
    </w:p>
    <w:p w14:paraId="7FC960EC">
      <w:pPr>
        <w:pStyle w:val="66"/>
        <w:ind w:firstLine="420"/>
        <w:rPr>
          <w:rFonts w:ascii="宋体" w:hAnsi="宋体" w:eastAsia="宋体" w:cs="宋体"/>
        </w:rPr>
      </w:pPr>
      <w:r>
        <w:rPr>
          <w:rFonts w:hint="eastAsia" w:ascii="宋体" w:hAnsi="宋体" w:eastAsia="宋体" w:cs="宋体"/>
          <w:kern w:val="0"/>
          <w:szCs w:val="21"/>
        </w:rPr>
        <w:t>9、我方同意所递交的投标文件在《投标人须知附表》规定的投标有效期内有效。</w:t>
      </w:r>
    </w:p>
    <w:p w14:paraId="747D3C7D">
      <w:pPr>
        <w:pStyle w:val="66"/>
        <w:ind w:firstLine="420"/>
        <w:rPr>
          <w:rFonts w:ascii="宋体" w:hAnsi="宋体" w:eastAsia="宋体" w:cs="宋体"/>
        </w:rPr>
      </w:pPr>
      <w:r>
        <w:rPr>
          <w:rFonts w:hint="eastAsia" w:ascii="宋体" w:hAnsi="宋体" w:eastAsia="宋体" w:cs="宋体"/>
        </w:rPr>
        <w:t>10、</w:t>
      </w:r>
      <w:r>
        <w:rPr>
          <w:rFonts w:hint="eastAsia" w:ascii="宋体" w:hAnsi="宋体" w:eastAsia="宋体" w:cs="宋体"/>
          <w:u w:val="single"/>
        </w:rPr>
        <w:t xml:space="preserve">          </w:t>
      </w:r>
      <w:r>
        <w:rPr>
          <w:rFonts w:hint="eastAsia" w:ascii="宋体" w:hAnsi="宋体" w:eastAsia="宋体" w:cs="宋体"/>
        </w:rPr>
        <w:t>（其他补充说明，若无请打斜杠）。</w:t>
      </w:r>
    </w:p>
    <w:p w14:paraId="5A1EAFF1">
      <w:pPr>
        <w:pStyle w:val="66"/>
        <w:ind w:firstLine="420"/>
        <w:rPr>
          <w:rFonts w:ascii="宋体" w:hAnsi="宋体" w:eastAsia="宋体" w:cs="宋体"/>
        </w:rPr>
      </w:pPr>
    </w:p>
    <w:p w14:paraId="183284A6">
      <w:pPr>
        <w:pStyle w:val="66"/>
        <w:ind w:firstLine="420"/>
        <w:rPr>
          <w:rFonts w:ascii="宋体" w:hAnsi="宋体" w:eastAsia="宋体" w:cs="宋体"/>
        </w:rPr>
      </w:pPr>
    </w:p>
    <w:p w14:paraId="79F9B52E">
      <w:pPr>
        <w:pStyle w:val="66"/>
        <w:ind w:firstLine="420"/>
        <w:rPr>
          <w:rFonts w:ascii="宋体" w:hAnsi="宋体" w:eastAsia="宋体" w:cs="宋体"/>
        </w:rPr>
      </w:pPr>
    </w:p>
    <w:p w14:paraId="4B07A5FF">
      <w:pPr>
        <w:pStyle w:val="66"/>
        <w:ind w:firstLine="5040" w:firstLineChars="2400"/>
        <w:rPr>
          <w:rFonts w:ascii="宋体" w:hAnsi="宋体" w:eastAsia="宋体" w:cs="宋体"/>
        </w:rPr>
      </w:pPr>
      <w:r>
        <w:rPr>
          <w:rFonts w:hint="eastAsia" w:ascii="宋体" w:hAnsi="宋体" w:eastAsia="宋体" w:cs="宋体"/>
        </w:rPr>
        <w:t>法定代表人：（签字或盖章）</w:t>
      </w:r>
    </w:p>
    <w:p w14:paraId="0BCAE805">
      <w:pPr>
        <w:pStyle w:val="66"/>
        <w:ind w:firstLine="5040" w:firstLineChars="2400"/>
        <w:rPr>
          <w:rFonts w:ascii="宋体" w:hAnsi="宋体" w:eastAsia="宋体" w:cs="宋体"/>
        </w:rPr>
      </w:pPr>
      <w:r>
        <w:rPr>
          <w:rFonts w:hint="eastAsia" w:ascii="宋体" w:hAnsi="宋体" w:eastAsia="宋体" w:cs="宋体"/>
        </w:rPr>
        <w:t>授权代表人：（签字或盖章）</w:t>
      </w:r>
    </w:p>
    <w:p w14:paraId="4B83F633">
      <w:pPr>
        <w:pStyle w:val="66"/>
        <w:ind w:firstLine="5040" w:firstLineChars="2400"/>
        <w:rPr>
          <w:rFonts w:ascii="宋体" w:hAnsi="宋体" w:eastAsia="宋体" w:cs="宋体"/>
        </w:rPr>
      </w:pPr>
      <w:r>
        <w:rPr>
          <w:rFonts w:hint="eastAsia" w:ascii="宋体" w:hAnsi="宋体" w:eastAsia="宋体" w:cs="宋体"/>
        </w:rPr>
        <w:t>竞标单位：（单位公章）</w:t>
      </w:r>
    </w:p>
    <w:p w14:paraId="6A8919F0">
      <w:pPr>
        <w:pStyle w:val="66"/>
        <w:ind w:firstLine="5040" w:firstLineChars="2400"/>
        <w:rPr>
          <w:rFonts w:ascii="宋体" w:hAnsi="宋体" w:eastAsia="宋体" w:cs="宋体"/>
        </w:rPr>
      </w:pPr>
      <w:r>
        <w:rPr>
          <w:rFonts w:hint="eastAsia" w:ascii="宋体" w:hAnsi="宋体" w:eastAsia="宋体" w:cs="宋体"/>
        </w:rPr>
        <w:t>日期：【】年【】月【】日</w:t>
      </w:r>
    </w:p>
    <w:p w14:paraId="42F04899">
      <w:pPr>
        <w:rPr>
          <w:rFonts w:ascii="宋体" w:hAnsi="宋体" w:eastAsia="宋体" w:cs="宋体"/>
        </w:rPr>
      </w:pPr>
    </w:p>
    <w:p w14:paraId="4557C474">
      <w:pPr>
        <w:rPr>
          <w:rFonts w:hint="eastAsia" w:ascii="宋体" w:hAnsi="宋体" w:eastAsia="宋体" w:cs="宋体"/>
        </w:rPr>
      </w:pPr>
    </w:p>
    <w:p w14:paraId="3C5F145F">
      <w:pPr>
        <w:rPr>
          <w:rFonts w:hint="eastAsia" w:ascii="宋体" w:hAnsi="宋体" w:eastAsia="宋体" w:cs="宋体"/>
        </w:rPr>
      </w:pPr>
    </w:p>
    <w:p w14:paraId="49A90A88">
      <w:pPr>
        <w:rPr>
          <w:rFonts w:hint="eastAsia" w:ascii="宋体" w:hAnsi="宋体" w:eastAsia="宋体" w:cs="宋体"/>
        </w:rPr>
      </w:pPr>
    </w:p>
    <w:p w14:paraId="6B727C6C">
      <w:pPr>
        <w:rPr>
          <w:rFonts w:hint="eastAsia" w:ascii="宋体" w:hAnsi="宋体" w:eastAsia="宋体" w:cs="宋体"/>
        </w:rPr>
      </w:pPr>
    </w:p>
    <w:p w14:paraId="7096BC09">
      <w:pPr>
        <w:rPr>
          <w:rFonts w:ascii="宋体" w:hAnsi="宋体" w:eastAsia="宋体" w:cs="宋体"/>
        </w:rPr>
      </w:pPr>
      <w:r>
        <w:rPr>
          <w:rFonts w:hint="eastAsia" w:ascii="宋体" w:hAnsi="宋体" w:eastAsia="宋体" w:cs="宋体"/>
        </w:rPr>
        <w:t>*附件2</w:t>
      </w:r>
    </w:p>
    <w:p w14:paraId="361AF296">
      <w:pPr>
        <w:pStyle w:val="66"/>
        <w:ind w:firstLine="0" w:firstLineChars="0"/>
        <w:jc w:val="center"/>
        <w:rPr>
          <w:rFonts w:ascii="宋体" w:hAnsi="宋体" w:eastAsia="宋体" w:cs="宋体"/>
        </w:rPr>
      </w:pPr>
      <w:r>
        <w:rPr>
          <w:rFonts w:hint="eastAsia" w:ascii="宋体" w:hAnsi="宋体" w:eastAsia="宋体" w:cs="宋体"/>
        </w:rPr>
        <w:t>竞标人声明</w:t>
      </w:r>
    </w:p>
    <w:p w14:paraId="61C0A4AC">
      <w:pPr>
        <w:pStyle w:val="66"/>
        <w:ind w:firstLine="6930" w:firstLineChars="3300"/>
        <w:rPr>
          <w:rFonts w:ascii="宋体" w:hAnsi="宋体" w:eastAsia="宋体" w:cs="宋体"/>
        </w:rPr>
      </w:pPr>
    </w:p>
    <w:p w14:paraId="65BA13EC">
      <w:pPr>
        <w:pStyle w:val="66"/>
        <w:ind w:firstLine="6930" w:firstLineChars="3300"/>
        <w:rPr>
          <w:rFonts w:ascii="宋体" w:hAnsi="宋体" w:eastAsia="宋体" w:cs="宋体"/>
        </w:rPr>
      </w:pPr>
      <w:r>
        <w:rPr>
          <w:rFonts w:hint="eastAsia" w:ascii="宋体" w:hAnsi="宋体" w:eastAsia="宋体" w:cs="宋体"/>
        </w:rPr>
        <w:t>项目名称</w:t>
      </w:r>
      <w:r>
        <w:rPr>
          <w:rFonts w:hint="eastAsia" w:ascii="宋体" w:hAnsi="宋体" w:eastAsia="宋体" w:cs="宋体"/>
          <w:u w:val="single"/>
        </w:rPr>
        <w:t xml:space="preserve">                  </w:t>
      </w:r>
    </w:p>
    <w:p w14:paraId="6633FFA6">
      <w:pPr>
        <w:pStyle w:val="66"/>
        <w:ind w:firstLine="0" w:firstLineChars="0"/>
        <w:rPr>
          <w:rFonts w:ascii="宋体" w:hAnsi="宋体" w:eastAsia="宋体" w:cs="宋体"/>
        </w:rPr>
      </w:pPr>
      <w:r>
        <w:rPr>
          <w:rFonts w:hint="eastAsia" w:ascii="宋体" w:hAnsi="宋体" w:eastAsia="宋体" w:cs="宋体"/>
        </w:rPr>
        <w:t>眉山琏升光伏科技有限公司：</w:t>
      </w:r>
    </w:p>
    <w:p w14:paraId="6E3A0637">
      <w:pPr>
        <w:pStyle w:val="66"/>
        <w:ind w:firstLine="420"/>
        <w:rPr>
          <w:rFonts w:ascii="宋体" w:hAnsi="宋体" w:eastAsia="宋体" w:cs="宋体"/>
        </w:rPr>
      </w:pPr>
      <w:r>
        <w:rPr>
          <w:rFonts w:hint="eastAsia" w:ascii="宋体" w:hAnsi="宋体" w:eastAsia="宋体" w:cs="宋体"/>
        </w:rPr>
        <w:t>我公司愿意针对本招标项目进行竞标。竞标文件中所有关于竞标人资格的文件、证明、陈述均是真实的、准确的、有效的。若有违背，我公司愿意承担由此而产生的一切后果。</w:t>
      </w:r>
    </w:p>
    <w:p w14:paraId="3EF675A8">
      <w:pPr>
        <w:pStyle w:val="66"/>
        <w:ind w:firstLine="420"/>
        <w:rPr>
          <w:rFonts w:hint="eastAsia" w:ascii="宋体" w:hAnsi="宋体" w:eastAsia="宋体" w:cs="宋体"/>
        </w:rPr>
      </w:pPr>
      <w:r>
        <w:rPr>
          <w:rFonts w:hint="eastAsia" w:ascii="宋体" w:hAnsi="宋体" w:eastAsia="宋体" w:cs="宋体"/>
        </w:rPr>
        <w:t>我公司</w:t>
      </w:r>
      <w:r>
        <w:rPr>
          <w:rFonts w:hint="eastAsia" w:ascii="宋体" w:hAnsi="宋体" w:eastAsia="宋体" w:cs="宋体"/>
          <w:lang w:val="en-US" w:eastAsia="zh-CN"/>
        </w:rPr>
        <w:t>与“琏升科技”旗下任何公司</w:t>
      </w:r>
      <w:r>
        <w:rPr>
          <w:rFonts w:hint="eastAsia" w:ascii="宋体" w:hAnsi="宋体" w:eastAsia="宋体" w:cs="宋体"/>
        </w:rPr>
        <w:t>之实际控制人、股东、董事、监事、高级管理人员之间</w:t>
      </w:r>
      <w:r>
        <w:rPr>
          <w:rFonts w:hint="eastAsia" w:ascii="宋体" w:hAnsi="宋体" w:eastAsia="宋体" w:cs="宋体"/>
        </w:rPr>
        <w:sym w:font="Wingdings 2" w:char="00A3"/>
      </w:r>
      <w:r>
        <w:rPr>
          <w:rFonts w:hint="eastAsia" w:ascii="宋体" w:hAnsi="宋体" w:eastAsia="宋体" w:cs="宋体"/>
        </w:rPr>
        <w:t>是</w:t>
      </w:r>
      <w:r>
        <w:rPr>
          <w:rFonts w:hint="eastAsia" w:ascii="宋体" w:hAnsi="宋体" w:eastAsia="宋体" w:cs="宋体"/>
        </w:rPr>
        <w:sym w:font="Wingdings 2" w:char="00A3"/>
      </w:r>
      <w:r>
        <w:rPr>
          <w:rFonts w:hint="eastAsia" w:ascii="宋体" w:hAnsi="宋体" w:eastAsia="宋体" w:cs="宋体"/>
        </w:rPr>
        <w:t>否存在关联关系。如是，本公司作出如下说明：</w:t>
      </w:r>
    </w:p>
    <w:p w14:paraId="3FA77E9B">
      <w:pPr>
        <w:pStyle w:val="66"/>
        <w:ind w:firstLine="420"/>
        <w:rPr>
          <w:rFonts w:hint="eastAsia" w:ascii="宋体" w:hAnsi="宋体" w:eastAsia="宋体" w:cs="宋体"/>
          <w:u w:val="single"/>
          <w:lang w:val="en-US" w:eastAsia="zh-CN"/>
        </w:rPr>
      </w:pPr>
    </w:p>
    <w:p w14:paraId="2AB2B017">
      <w:pPr>
        <w:pStyle w:val="66"/>
        <w:ind w:firstLine="420"/>
        <w:rPr>
          <w:rFonts w:hint="eastAsia" w:ascii="宋体" w:hAnsi="宋体" w:eastAsia="宋体" w:cs="宋体"/>
          <w:u w:val="single"/>
          <w:lang w:val="en-US" w:eastAsia="zh-CN"/>
        </w:rPr>
      </w:pPr>
      <w:r>
        <w:rPr>
          <w:rFonts w:hint="eastAsia" w:ascii="宋体" w:hAnsi="宋体" w:eastAsia="宋体" w:cs="宋体"/>
          <w:u w:val="single"/>
          <w:lang w:val="en-US" w:eastAsia="zh-CN"/>
        </w:rPr>
        <w:t xml:space="preserve">                                                          </w:t>
      </w:r>
    </w:p>
    <w:p w14:paraId="13A9DAB5">
      <w:pPr>
        <w:pStyle w:val="66"/>
        <w:ind w:firstLine="420"/>
        <w:rPr>
          <w:rFonts w:ascii="宋体" w:hAnsi="宋体" w:eastAsia="宋体" w:cs="宋体"/>
        </w:rPr>
      </w:pPr>
      <w:r>
        <w:rPr>
          <w:rFonts w:hint="eastAsia" w:ascii="宋体" w:hAnsi="宋体" w:eastAsia="宋体" w:cs="宋体"/>
        </w:rPr>
        <w:t>特此声明！</w:t>
      </w:r>
    </w:p>
    <w:p w14:paraId="665D4CBD">
      <w:pPr>
        <w:pStyle w:val="66"/>
        <w:ind w:firstLine="420"/>
        <w:rPr>
          <w:rFonts w:ascii="宋体" w:hAnsi="宋体" w:eastAsia="宋体" w:cs="宋体"/>
        </w:rPr>
      </w:pPr>
    </w:p>
    <w:p w14:paraId="050639BB">
      <w:pPr>
        <w:pStyle w:val="66"/>
        <w:ind w:firstLine="420"/>
        <w:rPr>
          <w:rFonts w:ascii="宋体" w:hAnsi="宋体" w:eastAsia="宋体" w:cs="宋体"/>
        </w:rPr>
      </w:pPr>
    </w:p>
    <w:p w14:paraId="17D30148">
      <w:pPr>
        <w:pStyle w:val="66"/>
        <w:ind w:firstLine="420"/>
        <w:rPr>
          <w:rFonts w:ascii="宋体" w:hAnsi="宋体" w:eastAsia="宋体" w:cs="宋体"/>
        </w:rPr>
      </w:pPr>
    </w:p>
    <w:p w14:paraId="34E07633">
      <w:pPr>
        <w:pStyle w:val="66"/>
        <w:ind w:firstLine="420"/>
        <w:rPr>
          <w:rFonts w:ascii="宋体" w:hAnsi="宋体" w:eastAsia="宋体" w:cs="宋体"/>
        </w:rPr>
      </w:pPr>
    </w:p>
    <w:p w14:paraId="21E787CF">
      <w:pPr>
        <w:pStyle w:val="66"/>
        <w:ind w:firstLine="420"/>
        <w:rPr>
          <w:rFonts w:ascii="宋体" w:hAnsi="宋体" w:eastAsia="宋体" w:cs="宋体"/>
        </w:rPr>
      </w:pPr>
    </w:p>
    <w:p w14:paraId="6E2DCD9C">
      <w:pPr>
        <w:pStyle w:val="66"/>
        <w:ind w:firstLine="420"/>
        <w:rPr>
          <w:rFonts w:ascii="宋体" w:hAnsi="宋体" w:eastAsia="宋体" w:cs="宋体"/>
        </w:rPr>
      </w:pPr>
    </w:p>
    <w:p w14:paraId="6E3E90FA">
      <w:pPr>
        <w:pStyle w:val="66"/>
        <w:ind w:firstLine="5040" w:firstLineChars="2400"/>
        <w:rPr>
          <w:rFonts w:ascii="宋体" w:hAnsi="宋体" w:eastAsia="宋体" w:cs="宋体"/>
        </w:rPr>
      </w:pPr>
      <w:r>
        <w:rPr>
          <w:rFonts w:hint="eastAsia" w:ascii="宋体" w:hAnsi="宋体" w:eastAsia="宋体" w:cs="宋体"/>
        </w:rPr>
        <w:t>法定代表人：（签字或盖章）</w:t>
      </w:r>
    </w:p>
    <w:p w14:paraId="6D76166B">
      <w:pPr>
        <w:pStyle w:val="66"/>
        <w:ind w:firstLine="5040" w:firstLineChars="2400"/>
        <w:rPr>
          <w:rFonts w:ascii="宋体" w:hAnsi="宋体" w:eastAsia="宋体" w:cs="宋体"/>
        </w:rPr>
      </w:pPr>
      <w:r>
        <w:rPr>
          <w:rFonts w:hint="eastAsia" w:ascii="宋体" w:hAnsi="宋体" w:eastAsia="宋体" w:cs="宋体"/>
        </w:rPr>
        <w:t>竞标单位授权代表：（签字或盖章）</w:t>
      </w:r>
    </w:p>
    <w:p w14:paraId="7989222F">
      <w:pPr>
        <w:pStyle w:val="66"/>
        <w:ind w:firstLine="5040" w:firstLineChars="2400"/>
        <w:rPr>
          <w:rFonts w:ascii="宋体" w:hAnsi="宋体" w:eastAsia="宋体" w:cs="宋体"/>
        </w:rPr>
      </w:pPr>
      <w:r>
        <w:rPr>
          <w:rFonts w:hint="eastAsia" w:ascii="宋体" w:hAnsi="宋体" w:eastAsia="宋体" w:cs="宋体"/>
        </w:rPr>
        <w:t>竞标单位：（加盖公章）</w:t>
      </w:r>
    </w:p>
    <w:p w14:paraId="03DE43ED">
      <w:pPr>
        <w:pStyle w:val="66"/>
        <w:ind w:firstLine="5040" w:firstLineChars="2400"/>
        <w:rPr>
          <w:rFonts w:ascii="宋体" w:hAnsi="宋体" w:eastAsia="宋体" w:cs="宋体"/>
        </w:rPr>
      </w:pPr>
      <w:r>
        <w:rPr>
          <w:rFonts w:hint="eastAsia" w:ascii="宋体" w:hAnsi="宋体" w:eastAsia="宋体" w:cs="宋体"/>
        </w:rPr>
        <w:t>日期：【】年【】月【】日</w:t>
      </w:r>
    </w:p>
    <w:p w14:paraId="11E26ADA">
      <w:pPr>
        <w:spacing w:line="360" w:lineRule="auto"/>
        <w:rPr>
          <w:rFonts w:ascii="宋体" w:hAnsi="宋体" w:eastAsia="宋体" w:cs="宋体"/>
        </w:rPr>
      </w:pPr>
      <w:r>
        <w:rPr>
          <w:rFonts w:hint="eastAsia" w:ascii="宋体" w:hAnsi="宋体" w:eastAsia="宋体" w:cs="宋体"/>
        </w:rPr>
        <w:br w:type="page"/>
      </w:r>
    </w:p>
    <w:p w14:paraId="2215AF47">
      <w:pPr>
        <w:pStyle w:val="68"/>
        <w:ind w:firstLine="0" w:firstLineChars="0"/>
        <w:rPr>
          <w:rFonts w:ascii="宋体" w:hAnsi="宋体" w:eastAsia="宋体" w:cs="宋体"/>
        </w:rPr>
      </w:pPr>
      <w:r>
        <w:rPr>
          <w:rFonts w:hint="eastAsia" w:ascii="宋体" w:hAnsi="宋体" w:eastAsia="宋体" w:cs="宋体"/>
        </w:rPr>
        <w:t>*附件3</w:t>
      </w:r>
    </w:p>
    <w:p w14:paraId="1B4464FC">
      <w:pPr>
        <w:pStyle w:val="66"/>
        <w:ind w:firstLine="420"/>
        <w:jc w:val="center"/>
        <w:outlineLvl w:val="1"/>
        <w:rPr>
          <w:rFonts w:ascii="宋体" w:hAnsi="宋体" w:eastAsia="宋体" w:cs="宋体"/>
          <w:b/>
          <w:color w:val="000000" w:themeColor="text1"/>
          <w14:textFill>
            <w14:solidFill>
              <w14:schemeClr w14:val="tx1"/>
            </w14:solidFill>
          </w14:textFill>
        </w:rPr>
      </w:pPr>
      <w:r>
        <w:rPr>
          <w:rFonts w:hint="eastAsia"/>
        </w:rPr>
        <w:fldChar w:fldCharType="begin"/>
      </w:r>
      <w:r>
        <w:instrText xml:space="preserve"> HYPERLINK \l "目录" </w:instrText>
      </w:r>
      <w:r>
        <w:rPr>
          <w:rFonts w:hint="eastAsia"/>
        </w:rPr>
        <w:fldChar w:fldCharType="separate"/>
      </w:r>
      <w:bookmarkStart w:id="21" w:name="_Toc115362587"/>
      <w:bookmarkStart w:id="22" w:name="_Toc115362490"/>
      <w:bookmarkStart w:id="23" w:name="_Toc115362806"/>
      <w:r>
        <w:rPr>
          <w:rStyle w:val="42"/>
          <w:rFonts w:hint="eastAsia" w:ascii="宋体" w:hAnsi="宋体" w:eastAsia="宋体" w:cs="宋体"/>
          <w:color w:val="000000" w:themeColor="text1"/>
          <w14:textFill>
            <w14:solidFill>
              <w14:schemeClr w14:val="tx1"/>
            </w14:solidFill>
          </w14:textFill>
        </w:rPr>
        <w:t>法定代表人授权委托书</w:t>
      </w:r>
      <w:bookmarkEnd w:id="21"/>
      <w:bookmarkEnd w:id="22"/>
      <w:bookmarkEnd w:id="23"/>
      <w:r>
        <w:rPr>
          <w:rStyle w:val="42"/>
          <w:rFonts w:hint="eastAsia" w:ascii="宋体" w:hAnsi="宋体" w:eastAsia="宋体" w:cs="宋体"/>
          <w:color w:val="000000" w:themeColor="text1"/>
          <w14:textFill>
            <w14:solidFill>
              <w14:schemeClr w14:val="tx1"/>
            </w14:solidFill>
          </w14:textFill>
        </w:rPr>
        <w:fldChar w:fldCharType="end"/>
      </w:r>
    </w:p>
    <w:p w14:paraId="482D0921">
      <w:pPr>
        <w:pStyle w:val="66"/>
        <w:ind w:firstLine="420"/>
        <w:rPr>
          <w:rFonts w:ascii="宋体" w:hAnsi="宋体" w:eastAsia="宋体" w:cs="宋体"/>
        </w:rPr>
      </w:pPr>
    </w:p>
    <w:p w14:paraId="4C41BA4F">
      <w:pPr>
        <w:pStyle w:val="66"/>
        <w:ind w:firstLine="0" w:firstLineChars="0"/>
        <w:rPr>
          <w:rFonts w:ascii="宋体" w:hAnsi="宋体" w:eastAsia="宋体" w:cs="宋体"/>
        </w:rPr>
      </w:pPr>
      <w:r>
        <w:rPr>
          <w:rFonts w:hint="eastAsia" w:ascii="宋体" w:hAnsi="宋体" w:eastAsia="宋体" w:cs="宋体"/>
        </w:rPr>
        <w:t>眉山琏升光伏科技有限公司：</w:t>
      </w:r>
    </w:p>
    <w:p w14:paraId="43AF339C">
      <w:pPr>
        <w:pStyle w:val="66"/>
        <w:ind w:firstLine="420"/>
        <w:rPr>
          <w:rFonts w:ascii="宋体" w:hAnsi="宋体" w:eastAsia="宋体" w:cs="宋体"/>
        </w:rPr>
      </w:pPr>
      <w:r>
        <w:rPr>
          <w:rFonts w:hint="eastAsia" w:ascii="宋体" w:hAnsi="宋体" w:eastAsia="宋体" w:cs="宋体"/>
        </w:rPr>
        <w:t>（竞标单位全称）法定代表人</w:t>
      </w:r>
      <w:r>
        <w:rPr>
          <w:rFonts w:hint="eastAsia" w:ascii="宋体" w:hAnsi="宋体" w:eastAsia="宋体" w:cs="宋体"/>
          <w:u w:val="single"/>
        </w:rPr>
        <w:t xml:space="preserve">        </w:t>
      </w:r>
      <w:r>
        <w:rPr>
          <w:rFonts w:hint="eastAsia" w:ascii="宋体" w:hAnsi="宋体" w:eastAsia="宋体" w:cs="宋体"/>
        </w:rPr>
        <w:t>授权</w:t>
      </w:r>
      <w:r>
        <w:rPr>
          <w:rFonts w:hint="eastAsia" w:ascii="宋体" w:hAnsi="宋体" w:eastAsia="宋体" w:cs="宋体"/>
          <w:u w:val="single"/>
        </w:rPr>
        <w:t xml:space="preserve">        </w:t>
      </w:r>
      <w:r>
        <w:rPr>
          <w:rFonts w:hint="eastAsia" w:ascii="宋体" w:hAnsi="宋体" w:eastAsia="宋体" w:cs="宋体"/>
        </w:rPr>
        <w:t>（代表人姓名/身份证号及身份证复印件）为全权代表， 参加贵公司组织的</w:t>
      </w:r>
      <w:r>
        <w:rPr>
          <w:rFonts w:hint="eastAsia" w:ascii="宋体" w:hAnsi="宋体" w:eastAsia="宋体" w:cs="宋体"/>
          <w:u w:val="single"/>
        </w:rPr>
        <w:t xml:space="preserve">        </w:t>
      </w:r>
      <w:r>
        <w:rPr>
          <w:rFonts w:hint="eastAsia" w:ascii="宋体" w:hAnsi="宋体" w:eastAsia="宋体" w:cs="宋体"/>
        </w:rPr>
        <w:t>项目招标活动，全权（特别授权）处理招标活动中的一切事宜，并承担由此产生的一切法律责任。招标人不接受代理人转授委托。</w:t>
      </w:r>
    </w:p>
    <w:p w14:paraId="120F101E">
      <w:pPr>
        <w:pStyle w:val="66"/>
        <w:ind w:firstLine="420"/>
        <w:rPr>
          <w:rFonts w:ascii="宋体" w:hAnsi="宋体" w:eastAsia="宋体" w:cs="宋体"/>
        </w:rPr>
      </w:pPr>
      <w:r>
        <w:rPr>
          <w:rFonts w:hint="eastAsia" w:ascii="宋体" w:hAnsi="宋体" w:eastAsia="宋体" w:cs="宋体"/>
        </w:rPr>
        <w:t>法定代表人身份证复印件：</w:t>
      </w:r>
    </w:p>
    <w:tbl>
      <w:tblPr>
        <w:tblStyle w:val="35"/>
        <w:tblW w:w="5000" w:type="pct"/>
        <w:tblInd w:w="0" w:type="dxa"/>
        <w:tblLayout w:type="autofit"/>
        <w:tblCellMar>
          <w:top w:w="0" w:type="dxa"/>
          <w:left w:w="108" w:type="dxa"/>
          <w:bottom w:w="0" w:type="dxa"/>
          <w:right w:w="108" w:type="dxa"/>
        </w:tblCellMar>
      </w:tblPr>
      <w:tblGrid>
        <w:gridCol w:w="4997"/>
        <w:gridCol w:w="5000"/>
      </w:tblGrid>
      <w:tr w14:paraId="1CE4E4B0">
        <w:tblPrEx>
          <w:tblCellMar>
            <w:top w:w="0" w:type="dxa"/>
            <w:left w:w="108" w:type="dxa"/>
            <w:bottom w:w="0" w:type="dxa"/>
            <w:right w:w="108" w:type="dxa"/>
          </w:tblCellMar>
        </w:tblPrEx>
        <w:trPr>
          <w:trHeight w:val="3912" w:hRule="atLeast"/>
        </w:trPr>
        <w:tc>
          <w:tcPr>
            <w:tcW w:w="2499" w:type="pct"/>
          </w:tcPr>
          <w:p w14:paraId="4B32A980">
            <w:pPr>
              <w:pStyle w:val="66"/>
              <w:widowControl w:val="0"/>
              <w:ind w:firstLine="420"/>
              <w:jc w:val="both"/>
              <w:rPr>
                <w:rFonts w:ascii="宋体" w:hAnsi="宋体" w:eastAsia="宋体" w:cs="宋体"/>
              </w:rPr>
            </w:pPr>
            <w:r>
              <w:rPr>
                <w:rFonts w:hint="eastAsia" w:ascii="宋体" w:hAnsi="宋体" w:eastAsia="宋体" w:cs="宋体"/>
              </w:rPr>
              <w:t>正面</w:t>
            </w:r>
          </w:p>
        </w:tc>
        <w:tc>
          <w:tcPr>
            <w:tcW w:w="2500" w:type="pct"/>
          </w:tcPr>
          <w:p w14:paraId="3E567347">
            <w:pPr>
              <w:pStyle w:val="66"/>
              <w:widowControl w:val="0"/>
              <w:ind w:firstLine="420"/>
              <w:jc w:val="both"/>
              <w:rPr>
                <w:rFonts w:ascii="宋体" w:hAnsi="宋体" w:eastAsia="宋体" w:cs="宋体"/>
              </w:rPr>
            </w:pPr>
            <w:r>
              <w:rPr>
                <w:rFonts w:hint="eastAsia" w:ascii="宋体" w:hAnsi="宋体" w:eastAsia="宋体" w:cs="宋体"/>
              </w:rPr>
              <w:t>反面</w:t>
            </w:r>
          </w:p>
        </w:tc>
      </w:tr>
    </w:tbl>
    <w:p w14:paraId="2E6DA725">
      <w:pPr>
        <w:pStyle w:val="66"/>
        <w:ind w:firstLine="420"/>
        <w:rPr>
          <w:rFonts w:ascii="宋体" w:hAnsi="宋体" w:eastAsia="宋体" w:cs="宋体"/>
        </w:rPr>
      </w:pPr>
      <w:r>
        <w:rPr>
          <w:rFonts w:hint="eastAsia" w:ascii="宋体" w:hAnsi="宋体" w:eastAsia="宋体" w:cs="宋体"/>
        </w:rPr>
        <w:t>授权代表身份证复印件：</w:t>
      </w:r>
    </w:p>
    <w:tbl>
      <w:tblPr>
        <w:tblStyle w:val="35"/>
        <w:tblW w:w="0" w:type="auto"/>
        <w:tblInd w:w="0" w:type="dxa"/>
        <w:tblLayout w:type="autofit"/>
        <w:tblCellMar>
          <w:top w:w="0" w:type="dxa"/>
          <w:left w:w="108" w:type="dxa"/>
          <w:bottom w:w="0" w:type="dxa"/>
          <w:right w:w="108" w:type="dxa"/>
        </w:tblCellMar>
      </w:tblPr>
      <w:tblGrid>
        <w:gridCol w:w="4998"/>
        <w:gridCol w:w="4999"/>
      </w:tblGrid>
      <w:tr w14:paraId="177B4420">
        <w:tblPrEx>
          <w:tblCellMar>
            <w:top w:w="0" w:type="dxa"/>
            <w:left w:w="108" w:type="dxa"/>
            <w:bottom w:w="0" w:type="dxa"/>
            <w:right w:w="108" w:type="dxa"/>
          </w:tblCellMar>
        </w:tblPrEx>
        <w:trPr>
          <w:trHeight w:val="4152" w:hRule="atLeast"/>
        </w:trPr>
        <w:tc>
          <w:tcPr>
            <w:tcW w:w="4998" w:type="dxa"/>
          </w:tcPr>
          <w:p w14:paraId="4ED08A89">
            <w:pPr>
              <w:pStyle w:val="66"/>
              <w:widowControl w:val="0"/>
              <w:ind w:firstLine="420"/>
              <w:jc w:val="both"/>
              <w:rPr>
                <w:rFonts w:ascii="宋体" w:hAnsi="宋体" w:eastAsia="宋体" w:cs="宋体"/>
              </w:rPr>
            </w:pPr>
            <w:r>
              <w:rPr>
                <w:rFonts w:hint="eastAsia" w:ascii="宋体" w:hAnsi="宋体" w:eastAsia="宋体" w:cs="宋体"/>
              </w:rPr>
              <w:t>正面</w:t>
            </w:r>
          </w:p>
        </w:tc>
        <w:tc>
          <w:tcPr>
            <w:tcW w:w="4999" w:type="dxa"/>
          </w:tcPr>
          <w:p w14:paraId="2679DAB4">
            <w:pPr>
              <w:pStyle w:val="66"/>
              <w:widowControl w:val="0"/>
              <w:ind w:firstLine="420"/>
              <w:jc w:val="both"/>
              <w:rPr>
                <w:rFonts w:ascii="宋体" w:hAnsi="宋体" w:eastAsia="宋体" w:cs="宋体"/>
              </w:rPr>
            </w:pPr>
            <w:r>
              <w:rPr>
                <w:rFonts w:hint="eastAsia" w:ascii="宋体" w:hAnsi="宋体" w:eastAsia="宋体" w:cs="宋体"/>
              </w:rPr>
              <w:t>反面</w:t>
            </w:r>
          </w:p>
        </w:tc>
      </w:tr>
    </w:tbl>
    <w:p w14:paraId="4D8AB6F4">
      <w:pPr>
        <w:pStyle w:val="66"/>
        <w:ind w:firstLine="0" w:firstLineChars="0"/>
        <w:rPr>
          <w:rFonts w:ascii="宋体" w:hAnsi="宋体" w:eastAsia="宋体" w:cs="宋体"/>
        </w:rPr>
      </w:pPr>
    </w:p>
    <w:p w14:paraId="4E22910B">
      <w:pPr>
        <w:pStyle w:val="66"/>
        <w:ind w:firstLine="5040" w:firstLineChars="2400"/>
        <w:rPr>
          <w:rFonts w:ascii="宋体" w:hAnsi="宋体" w:eastAsia="宋体" w:cs="宋体"/>
        </w:rPr>
      </w:pPr>
      <w:r>
        <w:rPr>
          <w:rFonts w:hint="eastAsia" w:ascii="宋体" w:hAnsi="宋体" w:eastAsia="宋体" w:cs="宋体"/>
        </w:rPr>
        <w:t>竞标单位法定代表人（签字或盖章）:</w:t>
      </w:r>
    </w:p>
    <w:p w14:paraId="7ABCA196">
      <w:pPr>
        <w:pStyle w:val="66"/>
        <w:ind w:firstLine="5040" w:firstLineChars="2400"/>
        <w:rPr>
          <w:rFonts w:ascii="宋体" w:hAnsi="宋体" w:eastAsia="宋体" w:cs="宋体"/>
        </w:rPr>
      </w:pPr>
      <w:r>
        <w:rPr>
          <w:rFonts w:hint="eastAsia" w:ascii="宋体" w:hAnsi="宋体" w:eastAsia="宋体" w:cs="宋体"/>
        </w:rPr>
        <w:t>竞标单位授权代表（签字）：</w:t>
      </w:r>
    </w:p>
    <w:p w14:paraId="7B2D5598">
      <w:pPr>
        <w:pStyle w:val="66"/>
        <w:ind w:firstLine="5040" w:firstLineChars="2400"/>
        <w:rPr>
          <w:rFonts w:ascii="宋体" w:hAnsi="宋体" w:eastAsia="宋体" w:cs="宋体"/>
        </w:rPr>
      </w:pPr>
      <w:r>
        <w:rPr>
          <w:rFonts w:hint="eastAsia" w:ascii="宋体" w:hAnsi="宋体" w:eastAsia="宋体" w:cs="宋体"/>
        </w:rPr>
        <w:t>竞标单位（加盖公章）:</w:t>
      </w:r>
    </w:p>
    <w:p w14:paraId="15761E67">
      <w:pPr>
        <w:pStyle w:val="66"/>
        <w:ind w:firstLine="5040" w:firstLineChars="2400"/>
        <w:rPr>
          <w:rFonts w:ascii="宋体" w:hAnsi="宋体" w:eastAsia="宋体" w:cs="宋体"/>
        </w:rPr>
      </w:pPr>
      <w:r>
        <w:rPr>
          <w:rFonts w:hint="eastAsia" w:ascii="宋体" w:hAnsi="宋体" w:eastAsia="宋体" w:cs="宋体"/>
        </w:rPr>
        <w:t>日期：【】年【】月【】日</w:t>
      </w:r>
      <w:r>
        <w:rPr>
          <w:rFonts w:hint="eastAsia" w:ascii="宋体" w:hAnsi="宋体" w:eastAsia="宋体" w:cs="宋体"/>
        </w:rPr>
        <w:br w:type="page"/>
      </w:r>
    </w:p>
    <w:p w14:paraId="534642B3">
      <w:pPr>
        <w:pStyle w:val="68"/>
        <w:ind w:firstLine="0" w:firstLineChars="0"/>
        <w:rPr>
          <w:rFonts w:ascii="宋体" w:hAnsi="宋体" w:eastAsia="宋体" w:cs="宋体"/>
        </w:rPr>
      </w:pPr>
      <w:r>
        <w:rPr>
          <w:rFonts w:hint="eastAsia" w:ascii="宋体" w:hAnsi="宋体" w:eastAsia="宋体" w:cs="宋体"/>
        </w:rPr>
        <w:t>*附件4</w:t>
      </w:r>
    </w:p>
    <w:p w14:paraId="1C6128C1">
      <w:pPr>
        <w:pStyle w:val="66"/>
        <w:ind w:firstLine="420"/>
        <w:jc w:val="center"/>
        <w:outlineLvl w:val="1"/>
        <w:rPr>
          <w:rFonts w:ascii="宋体" w:hAnsi="宋体" w:eastAsia="宋体" w:cs="宋体"/>
          <w:b/>
          <w:color w:val="000000" w:themeColor="text1"/>
          <w14:textFill>
            <w14:solidFill>
              <w14:schemeClr w14:val="tx1"/>
            </w14:solidFill>
          </w14:textFill>
        </w:rPr>
      </w:pPr>
      <w:r>
        <w:rPr>
          <w:rFonts w:hint="eastAsia"/>
        </w:rPr>
        <w:fldChar w:fldCharType="begin"/>
      </w:r>
      <w:r>
        <w:instrText xml:space="preserve"> HYPERLINK \l "目录" </w:instrText>
      </w:r>
      <w:r>
        <w:rPr>
          <w:rFonts w:hint="eastAsia"/>
        </w:rPr>
        <w:fldChar w:fldCharType="separate"/>
      </w:r>
      <w:bookmarkStart w:id="24" w:name="_Toc115362491"/>
      <w:bookmarkStart w:id="25" w:name="_Toc115362588"/>
      <w:bookmarkStart w:id="26" w:name="_Toc115362807"/>
      <w:r>
        <w:rPr>
          <w:rStyle w:val="42"/>
          <w:rFonts w:hint="eastAsia" w:ascii="宋体" w:hAnsi="宋体" w:eastAsia="宋体" w:cs="宋体"/>
          <w:color w:val="000000" w:themeColor="text1"/>
          <w14:textFill>
            <w14:solidFill>
              <w14:schemeClr w14:val="tx1"/>
            </w14:solidFill>
          </w14:textFill>
        </w:rPr>
        <w:t>竞标人承诺函</w:t>
      </w:r>
      <w:bookmarkEnd w:id="24"/>
      <w:bookmarkEnd w:id="25"/>
      <w:bookmarkEnd w:id="26"/>
      <w:r>
        <w:rPr>
          <w:rStyle w:val="42"/>
          <w:rFonts w:hint="eastAsia" w:ascii="宋体" w:hAnsi="宋体" w:eastAsia="宋体" w:cs="宋体"/>
          <w:color w:val="000000" w:themeColor="text1"/>
          <w14:textFill>
            <w14:solidFill>
              <w14:schemeClr w14:val="tx1"/>
            </w14:solidFill>
          </w14:textFill>
        </w:rPr>
        <w:fldChar w:fldCharType="end"/>
      </w:r>
    </w:p>
    <w:p w14:paraId="6629B6ED">
      <w:pPr>
        <w:pStyle w:val="66"/>
        <w:ind w:firstLine="0" w:firstLineChars="0"/>
        <w:rPr>
          <w:rFonts w:ascii="宋体" w:hAnsi="宋体" w:eastAsia="宋体" w:cs="宋体"/>
        </w:rPr>
      </w:pPr>
      <w:r>
        <w:rPr>
          <w:rFonts w:hint="eastAsia" w:ascii="宋体" w:hAnsi="宋体" w:eastAsia="宋体" w:cs="宋体"/>
        </w:rPr>
        <w:t>眉山琏升光伏科技有限公司：</w:t>
      </w:r>
    </w:p>
    <w:p w14:paraId="3199E819">
      <w:pPr>
        <w:pStyle w:val="66"/>
        <w:ind w:firstLine="420"/>
        <w:rPr>
          <w:rFonts w:ascii="宋体" w:hAnsi="宋体" w:eastAsia="宋体" w:cs="宋体"/>
        </w:rPr>
      </w:pPr>
      <w:r>
        <w:rPr>
          <w:rFonts w:hint="eastAsia" w:ascii="宋体" w:hAnsi="宋体" w:eastAsia="宋体" w:cs="宋体"/>
        </w:rPr>
        <w:t>项目名称：</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w:t>
      </w:r>
      <w:r>
        <w:rPr>
          <w:rFonts w:hint="eastAsia" w:ascii="宋体" w:hAnsi="宋体" w:eastAsia="宋体" w:cs="宋体"/>
        </w:rPr>
        <w:t>我代表（竞标单位名称），在此做出如下承诺：</w:t>
      </w:r>
    </w:p>
    <w:p w14:paraId="5A5B0501">
      <w:pPr>
        <w:pStyle w:val="66"/>
        <w:ind w:firstLine="420"/>
        <w:outlineLvl w:val="1"/>
        <w:rPr>
          <w:rFonts w:ascii="宋体" w:hAnsi="宋体" w:eastAsia="宋体" w:cs="宋体"/>
        </w:rPr>
      </w:pPr>
      <w:r>
        <w:rPr>
          <w:rFonts w:hint="eastAsia" w:ascii="宋体" w:hAnsi="宋体" w:eastAsia="宋体" w:cs="宋体"/>
        </w:rPr>
        <w:t>1、完全理解和接受招标文件的一切规定和要求。</w:t>
      </w:r>
    </w:p>
    <w:p w14:paraId="4F0A85E8">
      <w:pPr>
        <w:pStyle w:val="66"/>
        <w:ind w:firstLine="420"/>
        <w:rPr>
          <w:rFonts w:ascii="宋体" w:hAnsi="宋体" w:eastAsia="宋体" w:cs="宋体"/>
        </w:rPr>
      </w:pPr>
      <w:r>
        <w:rPr>
          <w:rFonts w:hint="eastAsia" w:ascii="宋体" w:hAnsi="宋体" w:eastAsia="宋体" w:cs="宋体"/>
        </w:rPr>
        <w:t>2、我方的竞标报价为固定价，并充分考虑了履行合同期市场等因素变化的风险。在无设备调整的情况下，竞标报价在竞标有效期和合同有效期内固定不变。</w:t>
      </w:r>
    </w:p>
    <w:p w14:paraId="6DD1F938">
      <w:pPr>
        <w:pStyle w:val="66"/>
        <w:ind w:firstLine="420"/>
        <w:rPr>
          <w:rFonts w:ascii="宋体" w:hAnsi="宋体" w:eastAsia="宋体" w:cs="宋体"/>
        </w:rPr>
      </w:pPr>
      <w:r>
        <w:rPr>
          <w:rFonts w:hint="eastAsia" w:ascii="宋体" w:hAnsi="宋体" w:eastAsia="宋体" w:cs="宋体"/>
        </w:rPr>
        <w:t>3、若中标，我方将按照竞争性谈判文件的具体规定及合同模板与招标人签订合同，并且严格按合同规定向招标方履行合同义务，为招标方提供优质的物流运输</w:t>
      </w:r>
      <w:r>
        <w:rPr>
          <w:rFonts w:hint="eastAsia" w:ascii="宋体" w:hAnsi="宋体" w:eastAsia="宋体" w:cs="Times New Roman"/>
          <w:szCs w:val="21"/>
        </w:rPr>
        <w:t>服务</w:t>
      </w:r>
      <w:r>
        <w:rPr>
          <w:rFonts w:hint="eastAsia" w:ascii="宋体" w:hAnsi="宋体" w:eastAsia="宋体" w:cs="宋体"/>
        </w:rPr>
        <w:t>，按招标人要求提供物流服务。如果在合同执行过程中，发现服务质量问题、有缺陷和技术资料有错误，或者由于供方技术人员指导错误和疏忽造成招标人损坏或影响生产正常运行，应立即无偿采取有效措施弥补。如给贵方造成损失（包括但不限于货品损失、维修损失、工期延误的损失、违约金、赔偿金等），将全额赔偿。</w:t>
      </w:r>
    </w:p>
    <w:p w14:paraId="13A9C9E9">
      <w:pPr>
        <w:pStyle w:val="66"/>
        <w:ind w:firstLine="420"/>
        <w:rPr>
          <w:rFonts w:ascii="宋体" w:hAnsi="宋体" w:eastAsia="宋体" w:cs="宋体"/>
        </w:rPr>
      </w:pPr>
      <w:r>
        <w:rPr>
          <w:rFonts w:hint="eastAsia" w:ascii="宋体" w:hAnsi="宋体" w:eastAsia="宋体" w:cs="宋体"/>
        </w:rPr>
        <w:t>4、我方已经详细阅读了竞争性谈判文件，包括澄清文件、修改（如果有）和所有供参考的资料以及有关附件，并清楚今后无权再对此提出理解不清或误解的问题。</w:t>
      </w:r>
    </w:p>
    <w:p w14:paraId="4CC91F91">
      <w:pPr>
        <w:pStyle w:val="66"/>
        <w:ind w:firstLine="420"/>
        <w:rPr>
          <w:rFonts w:ascii="宋体" w:hAnsi="宋体" w:eastAsia="宋体" w:cs="宋体"/>
        </w:rPr>
      </w:pPr>
      <w:r>
        <w:rPr>
          <w:rFonts w:hint="eastAsia" w:ascii="宋体" w:hAnsi="宋体" w:eastAsia="宋体" w:cs="宋体"/>
        </w:rPr>
        <w:t>5、在整个招、竞标过程中，我方若有违法违规违约行为，贵方可按法律法规、招标文件及其他约定处理，我方完全接受。</w:t>
      </w:r>
    </w:p>
    <w:p w14:paraId="0C8A10E8">
      <w:pPr>
        <w:pStyle w:val="66"/>
        <w:ind w:firstLine="420"/>
        <w:rPr>
          <w:rFonts w:ascii="宋体" w:hAnsi="宋体" w:eastAsia="宋体" w:cs="宋体"/>
        </w:rPr>
      </w:pPr>
      <w:r>
        <w:rPr>
          <w:rFonts w:hint="eastAsia" w:ascii="宋体" w:hAnsi="宋体" w:eastAsia="宋体" w:cs="宋体"/>
        </w:rPr>
        <w:t>6、我方保证所提供的服务是先进的、成熟的、质量优良的，服务内容符合安全可靠、长期稳定、经济运行和易于维护的要求。</w:t>
      </w:r>
    </w:p>
    <w:p w14:paraId="4E3912EF">
      <w:pPr>
        <w:pStyle w:val="66"/>
        <w:ind w:firstLine="420"/>
        <w:rPr>
          <w:rFonts w:ascii="宋体" w:hAnsi="宋体" w:eastAsia="宋体" w:cs="宋体"/>
        </w:rPr>
      </w:pPr>
      <w:r>
        <w:rPr>
          <w:rFonts w:hint="eastAsia" w:ascii="宋体" w:hAnsi="宋体" w:eastAsia="宋体" w:cs="宋体"/>
        </w:rPr>
        <w:t>7、我方保证所交付的技术资料完整和内容正确，并能满足招标人物流运输的相关要求，所提供的产品及服务满足或超过招标文件中的技术要求，并且能够按照贵方的要求及时提供。</w:t>
      </w:r>
    </w:p>
    <w:p w14:paraId="640F7258">
      <w:pPr>
        <w:pStyle w:val="66"/>
        <w:ind w:firstLine="420"/>
        <w:rPr>
          <w:rFonts w:ascii="宋体" w:hAnsi="宋体" w:eastAsia="宋体" w:cs="宋体"/>
        </w:rPr>
      </w:pPr>
      <w:r>
        <w:rPr>
          <w:rFonts w:hint="eastAsia" w:ascii="宋体" w:hAnsi="宋体" w:eastAsia="宋体" w:cs="宋体"/>
        </w:rPr>
        <w:t>8、竞标单位在参加本次招标前已经对本项目进行充分的了解，也清楚的了解到本项目的重要性及紧迫性，因竞标单位原因（包括不限于违约行为）致使各个环节时间或质量（如：派车、装卸货、运输等）未能达标，或出现问题等，都将给贵司造成巨大的损失。为此，本竞标单位在知悉前述情况下同意参标，并承诺若中标自愿承担因竞标单位原因（包括不限于违约行为）所导致的招标人的全部“合理损失”。本协议约定的“合理损失”合理损失包括不限于：可能导致项目进度延迟或其他影响项目正常推进的情形时，买方为保证项目顺利推进而采取的其他措施所产生的费用；因竞标单位原因导致项目延迟投产造成的销售损失；其他的“合理损失”。</w:t>
      </w:r>
    </w:p>
    <w:p w14:paraId="10901673">
      <w:pPr>
        <w:pStyle w:val="66"/>
        <w:ind w:firstLine="420"/>
        <w:outlineLvl w:val="1"/>
        <w:rPr>
          <w:rFonts w:ascii="宋体" w:hAnsi="宋体" w:eastAsia="宋体" w:cs="宋体"/>
        </w:rPr>
      </w:pPr>
      <w:r>
        <w:rPr>
          <w:rFonts w:hint="eastAsia" w:ascii="宋体" w:hAnsi="宋体" w:eastAsia="宋体" w:cs="宋体"/>
        </w:rPr>
        <w:t>9、其他承诺：</w:t>
      </w:r>
      <w:r>
        <w:rPr>
          <w:rFonts w:hint="eastAsia" w:ascii="宋体" w:hAnsi="宋体" w:eastAsia="宋体" w:cs="宋体"/>
          <w:u w:val="single"/>
        </w:rPr>
        <w:t xml:space="preserve">                                             </w:t>
      </w:r>
      <w:r>
        <w:rPr>
          <w:rFonts w:hint="eastAsia" w:ascii="宋体" w:hAnsi="宋体" w:eastAsia="宋体" w:cs="宋体"/>
        </w:rPr>
        <w:t>。（若无，请划斜线。）</w:t>
      </w:r>
    </w:p>
    <w:p w14:paraId="5806105E">
      <w:pPr>
        <w:pStyle w:val="66"/>
        <w:ind w:firstLine="5040" w:firstLineChars="2400"/>
        <w:rPr>
          <w:rFonts w:ascii="宋体" w:hAnsi="宋体" w:eastAsia="宋体" w:cs="宋体"/>
        </w:rPr>
      </w:pPr>
      <w:r>
        <w:rPr>
          <w:rFonts w:hint="eastAsia" w:ascii="宋体" w:hAnsi="宋体" w:eastAsia="宋体" w:cs="宋体"/>
        </w:rPr>
        <w:t>竞标单位授权代表（签字或盖章）:</w:t>
      </w:r>
    </w:p>
    <w:p w14:paraId="4CB88B60">
      <w:pPr>
        <w:pStyle w:val="66"/>
        <w:ind w:firstLine="5040" w:firstLineChars="2400"/>
        <w:rPr>
          <w:rFonts w:ascii="宋体" w:hAnsi="宋体" w:eastAsia="宋体" w:cs="宋体"/>
        </w:rPr>
      </w:pPr>
      <w:r>
        <w:rPr>
          <w:rFonts w:hint="eastAsia" w:ascii="宋体" w:hAnsi="宋体" w:eastAsia="宋体" w:cs="宋体"/>
        </w:rPr>
        <w:t>竞标单位（加盖公章）:</w:t>
      </w:r>
    </w:p>
    <w:p w14:paraId="1E0A6D43">
      <w:pPr>
        <w:pStyle w:val="68"/>
        <w:ind w:firstLine="5060" w:firstLineChars="2400"/>
        <w:outlineLvl w:val="2"/>
        <w:rPr>
          <w:rFonts w:ascii="宋体" w:hAnsi="宋体" w:eastAsia="宋体" w:cs="宋体"/>
        </w:rPr>
      </w:pPr>
      <w:r>
        <w:rPr>
          <w:rFonts w:hint="eastAsia" w:ascii="宋体" w:hAnsi="宋体" w:eastAsia="宋体" w:cs="宋体"/>
        </w:rPr>
        <w:t>日期：【】年【】月【】日</w:t>
      </w:r>
    </w:p>
    <w:p w14:paraId="137CD675">
      <w:pPr>
        <w:rPr>
          <w:rFonts w:ascii="宋体" w:hAnsi="宋体" w:eastAsia="宋体"/>
        </w:rPr>
        <w:sectPr>
          <w:footerReference r:id="rId4" w:type="default"/>
          <w:pgSz w:w="11906" w:h="16838"/>
          <w:pgMar w:top="993" w:right="991" w:bottom="851" w:left="1134" w:header="851" w:footer="487" w:gutter="0"/>
          <w:pgNumType w:start="1"/>
          <w:cols w:space="425" w:num="1"/>
          <w:docGrid w:type="lines" w:linePitch="312" w:charSpace="0"/>
        </w:sectPr>
      </w:pPr>
    </w:p>
    <w:p w14:paraId="16351363">
      <w:pPr>
        <w:rPr>
          <w:rFonts w:ascii="宋体" w:hAnsi="宋体" w:eastAsia="宋体"/>
        </w:rPr>
        <w:sectPr>
          <w:pgSz w:w="11906" w:h="16838"/>
          <w:pgMar w:top="992" w:right="992" w:bottom="851" w:left="1134" w:header="851" w:footer="488" w:gutter="0"/>
          <w:pgNumType w:start="1"/>
          <w:cols w:space="425" w:num="1"/>
          <w:docGrid w:type="linesAndChars" w:linePitch="312" w:charSpace="0"/>
        </w:sectPr>
      </w:pPr>
    </w:p>
    <w:p w14:paraId="59AA429F">
      <w:pPr>
        <w:pStyle w:val="68"/>
        <w:ind w:firstLine="0" w:firstLineChars="0"/>
        <w:rPr>
          <w:rFonts w:ascii="宋体" w:hAnsi="宋体" w:eastAsia="宋体" w:cs="宋体"/>
        </w:rPr>
      </w:pPr>
      <w:r>
        <w:rPr>
          <w:rFonts w:hint="eastAsia" w:ascii="宋体" w:hAnsi="宋体" w:eastAsia="宋体" w:cs="宋体"/>
        </w:rPr>
        <w:t>*附件6</w:t>
      </w:r>
    </w:p>
    <w:p w14:paraId="6FE5783A">
      <w:pPr>
        <w:pStyle w:val="66"/>
        <w:ind w:firstLine="3570" w:firstLineChars="1700"/>
        <w:jc w:val="both"/>
        <w:outlineLvl w:val="1"/>
        <w:rPr>
          <w:rFonts w:ascii="宋体" w:hAnsi="宋体" w:eastAsia="宋体" w:cs="宋体"/>
          <w:b/>
          <w:color w:val="000000" w:themeColor="text1"/>
          <w14:textFill>
            <w14:solidFill>
              <w14:schemeClr w14:val="tx1"/>
            </w14:solidFill>
          </w14:textFill>
        </w:rPr>
      </w:pPr>
      <w:r>
        <w:rPr>
          <w:rFonts w:hint="eastAsia"/>
        </w:rPr>
        <w:fldChar w:fldCharType="begin"/>
      </w:r>
      <w:r>
        <w:instrText xml:space="preserve"> HYPERLINK \l "目录" </w:instrText>
      </w:r>
      <w:r>
        <w:rPr>
          <w:rFonts w:hint="eastAsia"/>
        </w:rPr>
        <w:fldChar w:fldCharType="separate"/>
      </w:r>
      <w:bookmarkStart w:id="27" w:name="_Toc115362493"/>
      <w:bookmarkStart w:id="28" w:name="_Toc115362809"/>
      <w:bookmarkStart w:id="29" w:name="_Toc115362590"/>
      <w:r>
        <w:rPr>
          <w:rStyle w:val="42"/>
          <w:rFonts w:hint="eastAsia" w:ascii="宋体" w:hAnsi="宋体" w:eastAsia="宋体" w:cs="宋体"/>
          <w:color w:val="000000" w:themeColor="text1"/>
          <w14:textFill>
            <w14:solidFill>
              <w14:schemeClr w14:val="tx1"/>
            </w14:solidFill>
          </w14:textFill>
        </w:rPr>
        <w:t>诚信合作与公平竞争承诺书</w:t>
      </w:r>
      <w:bookmarkEnd w:id="27"/>
      <w:bookmarkEnd w:id="28"/>
      <w:bookmarkEnd w:id="29"/>
      <w:r>
        <w:rPr>
          <w:rStyle w:val="42"/>
          <w:rFonts w:hint="eastAsia" w:ascii="宋体" w:hAnsi="宋体" w:eastAsia="宋体" w:cs="宋体"/>
          <w:color w:val="000000" w:themeColor="text1"/>
          <w14:textFill>
            <w14:solidFill>
              <w14:schemeClr w14:val="tx1"/>
            </w14:solidFill>
          </w14:textFill>
        </w:rPr>
        <w:fldChar w:fldCharType="end"/>
      </w:r>
    </w:p>
    <w:p w14:paraId="3E1CCBF4">
      <w:pPr>
        <w:pStyle w:val="66"/>
        <w:ind w:firstLine="0" w:firstLineChars="0"/>
        <w:rPr>
          <w:rFonts w:ascii="宋体" w:hAnsi="宋体" w:eastAsia="宋体" w:cs="宋体"/>
        </w:rPr>
      </w:pPr>
      <w:r>
        <w:rPr>
          <w:rFonts w:hint="eastAsia" w:ascii="宋体" w:hAnsi="宋体" w:eastAsia="宋体" w:cs="宋体"/>
        </w:rPr>
        <w:t>招标方：眉山琏升光伏科技有限公司：</w:t>
      </w:r>
    </w:p>
    <w:p w14:paraId="65B25E00">
      <w:pPr>
        <w:pStyle w:val="66"/>
        <w:ind w:firstLine="0" w:firstLineChars="0"/>
        <w:rPr>
          <w:rFonts w:ascii="宋体" w:hAnsi="宋体" w:eastAsia="宋体" w:cs="宋体"/>
        </w:rPr>
      </w:pPr>
      <w:r>
        <w:rPr>
          <w:rFonts w:hint="eastAsia" w:ascii="宋体" w:hAnsi="宋体" w:eastAsia="宋体" w:cs="宋体"/>
        </w:rPr>
        <w:t>竞标方：</w:t>
      </w:r>
    </w:p>
    <w:p w14:paraId="211FAC4F">
      <w:pPr>
        <w:pStyle w:val="66"/>
        <w:ind w:firstLine="420"/>
        <w:rPr>
          <w:rFonts w:ascii="宋体" w:hAnsi="宋体" w:eastAsia="宋体" w:cs="宋体"/>
        </w:rPr>
      </w:pPr>
      <w:r>
        <w:rPr>
          <w:rFonts w:hint="eastAsia" w:ascii="宋体" w:hAnsi="宋体" w:eastAsia="宋体" w:cs="宋体"/>
        </w:rPr>
        <w:t xml:space="preserve">为共同创造诚实守信、廉洁自律的合作环境，杜绝和抵制各种商业腐败及有违公平竞争行为发生，经双方友好协商，达成本协议内容，以昭信守。 </w:t>
      </w:r>
    </w:p>
    <w:p w14:paraId="1992B817">
      <w:pPr>
        <w:pStyle w:val="66"/>
        <w:numPr>
          <w:ilvl w:val="0"/>
          <w:numId w:val="11"/>
        </w:numPr>
        <w:ind w:firstLine="420"/>
        <w:rPr>
          <w:rFonts w:ascii="宋体" w:hAnsi="宋体" w:eastAsia="宋体" w:cs="宋体"/>
        </w:rPr>
      </w:pPr>
      <w:r>
        <w:rPr>
          <w:rFonts w:hint="eastAsia" w:ascii="宋体" w:hAnsi="宋体" w:eastAsia="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CS@leascend.com或ComplianceSupervision@leascend.com。</w:t>
      </w:r>
    </w:p>
    <w:p w14:paraId="01FA2919">
      <w:pPr>
        <w:pStyle w:val="66"/>
        <w:numPr>
          <w:ilvl w:val="0"/>
          <w:numId w:val="11"/>
        </w:numPr>
        <w:ind w:firstLine="420"/>
        <w:rPr>
          <w:rFonts w:ascii="宋体" w:hAnsi="宋体" w:eastAsia="宋体" w:cs="宋体"/>
        </w:rPr>
      </w:pPr>
      <w:r>
        <w:rPr>
          <w:rFonts w:hint="eastAsia" w:ascii="宋体" w:hAnsi="宋体" w:eastAsia="宋体" w:cs="宋体"/>
        </w:rPr>
        <w:t xml:space="preserve"> 竞标方承诺不与眉山琏升及其关联公司、下属机构现任、开除、辞退、辞职的人员直接或间接发生任何经济往来，或与以上人员合伙经商。如发现此类情况，竞标方保证立即告知招标方。</w:t>
      </w:r>
    </w:p>
    <w:p w14:paraId="56E03E1D">
      <w:pPr>
        <w:pStyle w:val="66"/>
        <w:ind w:firstLine="420"/>
        <w:rPr>
          <w:rFonts w:ascii="宋体" w:hAnsi="宋体" w:eastAsia="宋体" w:cs="宋体"/>
        </w:rPr>
      </w:pPr>
      <w:r>
        <w:rPr>
          <w:rFonts w:hint="eastAsia" w:ascii="宋体" w:hAnsi="宋体" w:eastAsia="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2B745C89">
      <w:pPr>
        <w:pStyle w:val="66"/>
        <w:ind w:firstLine="420"/>
        <w:rPr>
          <w:rFonts w:ascii="宋体" w:hAnsi="宋体" w:eastAsia="宋体" w:cs="宋体"/>
        </w:rPr>
      </w:pPr>
      <w:r>
        <w:rPr>
          <w:rFonts w:hint="eastAsia" w:ascii="宋体" w:hAnsi="宋体" w:eastAsia="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62793276">
      <w:pPr>
        <w:pStyle w:val="66"/>
        <w:ind w:firstLine="420"/>
        <w:rPr>
          <w:rFonts w:ascii="宋体" w:hAnsi="宋体" w:eastAsia="宋体" w:cs="宋体"/>
        </w:rPr>
      </w:pPr>
      <w:r>
        <w:rPr>
          <w:rFonts w:hint="eastAsia" w:ascii="宋体" w:hAnsi="宋体" w:eastAsia="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034DBB50">
      <w:pPr>
        <w:pStyle w:val="66"/>
        <w:ind w:firstLine="420"/>
        <w:rPr>
          <w:rFonts w:ascii="宋体" w:hAnsi="宋体" w:eastAsia="宋体" w:cs="宋体"/>
        </w:rPr>
      </w:pPr>
      <w:r>
        <w:rPr>
          <w:rFonts w:hint="eastAsia" w:ascii="宋体" w:hAnsi="宋体" w:eastAsia="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624AA3E6">
      <w:pPr>
        <w:pStyle w:val="66"/>
        <w:ind w:firstLine="420"/>
        <w:rPr>
          <w:rFonts w:ascii="宋体" w:hAnsi="宋体" w:eastAsia="宋体" w:cs="宋体"/>
        </w:rPr>
      </w:pPr>
      <w:r>
        <w:rPr>
          <w:rFonts w:hint="eastAsia" w:ascii="宋体" w:hAnsi="宋体" w:eastAsia="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492064DE">
      <w:pPr>
        <w:pStyle w:val="66"/>
        <w:ind w:firstLine="420"/>
        <w:rPr>
          <w:rFonts w:ascii="宋体" w:hAnsi="宋体" w:eastAsia="宋体" w:cs="宋体"/>
        </w:rPr>
      </w:pPr>
      <w:r>
        <w:rPr>
          <w:rFonts w:hint="eastAsia" w:ascii="宋体" w:hAnsi="宋体" w:eastAsia="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4BBEF0ED">
      <w:pPr>
        <w:pStyle w:val="66"/>
        <w:ind w:firstLine="420"/>
        <w:rPr>
          <w:rFonts w:ascii="宋体" w:hAnsi="宋体" w:eastAsia="宋体" w:cs="宋体"/>
        </w:rPr>
      </w:pPr>
      <w:r>
        <w:rPr>
          <w:rFonts w:hint="eastAsia" w:ascii="宋体" w:hAnsi="宋体" w:eastAsia="宋体" w:cs="宋体"/>
        </w:rPr>
        <w:t>第九条 本协议内容系竞标方真实意思表示并自愿作出承诺，与双方签订的业务合同同具法律约束力。除本协议有明确约定外，业务合同与本协议约定不一致的，以业务合同的约定为准。</w:t>
      </w:r>
    </w:p>
    <w:p w14:paraId="7509BC11">
      <w:pPr>
        <w:pStyle w:val="66"/>
        <w:ind w:firstLine="420"/>
        <w:rPr>
          <w:rFonts w:ascii="宋体" w:hAnsi="宋体" w:eastAsia="宋体" w:cs="宋体"/>
        </w:rPr>
      </w:pPr>
    </w:p>
    <w:p w14:paraId="1D7BAE6D">
      <w:pPr>
        <w:pStyle w:val="66"/>
        <w:ind w:firstLine="420"/>
        <w:rPr>
          <w:rFonts w:ascii="宋体" w:hAnsi="宋体" w:eastAsia="宋体" w:cs="宋体"/>
        </w:rPr>
      </w:pPr>
    </w:p>
    <w:p w14:paraId="4AECEDEA">
      <w:pPr>
        <w:pStyle w:val="66"/>
        <w:ind w:firstLine="5040" w:firstLineChars="2400"/>
        <w:rPr>
          <w:rFonts w:ascii="宋体" w:hAnsi="宋体" w:eastAsia="宋体" w:cs="宋体"/>
        </w:rPr>
      </w:pPr>
      <w:r>
        <w:rPr>
          <w:rFonts w:hint="eastAsia" w:ascii="宋体" w:hAnsi="宋体" w:eastAsia="宋体" w:cs="宋体"/>
        </w:rPr>
        <w:t>竞标方（签章）：</w:t>
      </w:r>
    </w:p>
    <w:p w14:paraId="2B89DF33">
      <w:pPr>
        <w:pStyle w:val="66"/>
        <w:ind w:firstLine="5040" w:firstLineChars="2400"/>
        <w:rPr>
          <w:rFonts w:ascii="宋体" w:hAnsi="宋体" w:eastAsia="宋体" w:cs="宋体"/>
        </w:rPr>
      </w:pPr>
      <w:r>
        <w:rPr>
          <w:rFonts w:hint="eastAsia" w:ascii="宋体" w:hAnsi="宋体" w:eastAsia="宋体" w:cs="宋体"/>
        </w:rPr>
        <w:t>授权代表人（签字）：</w:t>
      </w:r>
    </w:p>
    <w:p w14:paraId="443E77DB">
      <w:pPr>
        <w:pStyle w:val="66"/>
        <w:ind w:firstLine="5040" w:firstLineChars="2400"/>
        <w:rPr>
          <w:rFonts w:ascii="宋体" w:hAnsi="宋体" w:eastAsia="宋体" w:cs="宋体"/>
        </w:rPr>
      </w:pPr>
      <w:r>
        <w:rPr>
          <w:rFonts w:hint="eastAsia" w:ascii="宋体" w:hAnsi="宋体" w:eastAsia="宋体" w:cs="宋体"/>
        </w:rPr>
        <w:t>日期：【】年【】月【】日</w:t>
      </w:r>
    </w:p>
    <w:p w14:paraId="1C1D297E">
      <w:pPr>
        <w:spacing w:line="360" w:lineRule="auto"/>
        <w:rPr>
          <w:rFonts w:ascii="宋体" w:hAnsi="宋体" w:eastAsia="宋体" w:cs="宋体"/>
        </w:rPr>
      </w:pPr>
      <w:r>
        <w:rPr>
          <w:rFonts w:hint="eastAsia" w:ascii="宋体" w:hAnsi="宋体" w:eastAsia="宋体" w:cs="宋体"/>
        </w:rPr>
        <w:br w:type="page"/>
      </w:r>
    </w:p>
    <w:p w14:paraId="13442377">
      <w:pPr>
        <w:pStyle w:val="68"/>
        <w:ind w:firstLine="0" w:firstLineChars="0"/>
        <w:rPr>
          <w:rFonts w:ascii="宋体" w:hAnsi="宋体" w:eastAsia="宋体" w:cs="宋体"/>
        </w:rPr>
      </w:pPr>
      <w:r>
        <w:rPr>
          <w:rFonts w:hint="eastAsia" w:ascii="宋体" w:hAnsi="宋体" w:eastAsia="宋体" w:cs="宋体"/>
        </w:rPr>
        <w:t>*附件7</w:t>
      </w:r>
    </w:p>
    <w:p w14:paraId="3CA1ECB1">
      <w:pPr>
        <w:spacing w:line="360" w:lineRule="auto"/>
        <w:jc w:val="center"/>
        <w:rPr>
          <w:rFonts w:ascii="宋体" w:hAnsi="宋体" w:eastAsia="宋体" w:cs="宋体"/>
          <w:b/>
          <w:sz w:val="36"/>
          <w:szCs w:val="36"/>
        </w:rPr>
      </w:pPr>
      <w:r>
        <w:rPr>
          <w:rFonts w:hint="eastAsia" w:ascii="宋体" w:hAnsi="宋体" w:eastAsia="宋体" w:cs="宋体"/>
          <w:b/>
          <w:sz w:val="36"/>
          <w:szCs w:val="36"/>
        </w:rPr>
        <w:t>眉山琏升光伏科技有限公司国际物流运输项目</w:t>
      </w:r>
    </w:p>
    <w:p w14:paraId="3E257452">
      <w:pPr>
        <w:spacing w:line="360" w:lineRule="auto"/>
        <w:jc w:val="center"/>
        <w:rPr>
          <w:rFonts w:ascii="宋体" w:hAnsi="宋体" w:eastAsia="宋体" w:cs="宋体"/>
          <w:b/>
          <w:sz w:val="36"/>
          <w:szCs w:val="36"/>
        </w:rPr>
      </w:pPr>
      <w:r>
        <w:rPr>
          <w:rFonts w:hint="eastAsia" w:ascii="宋体" w:hAnsi="宋体" w:eastAsia="宋体" w:cs="宋体"/>
          <w:b/>
          <w:sz w:val="36"/>
          <w:szCs w:val="36"/>
        </w:rPr>
        <w:t xml:space="preserve">保密协议 </w:t>
      </w:r>
    </w:p>
    <w:p w14:paraId="7A589592">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招标人：眉山琏升光伏科技有限公司</w:t>
      </w:r>
    </w:p>
    <w:p w14:paraId="57683495">
      <w:pPr>
        <w:spacing w:line="360" w:lineRule="auto"/>
        <w:ind w:firstLine="440" w:firstLineChars="200"/>
        <w:rPr>
          <w:rFonts w:ascii="宋体" w:hAnsi="宋体" w:eastAsia="宋体" w:cs="宋体"/>
        </w:rPr>
      </w:pPr>
      <w:r>
        <w:rPr>
          <w:rFonts w:hint="eastAsia" w:ascii="宋体" w:hAnsi="宋体" w:eastAsia="宋体" w:cs="宋体"/>
        </w:rPr>
        <w:t>送达地址：【四川省眉山市丹棱县</w:t>
      </w:r>
      <w:r>
        <w:rPr>
          <w:rFonts w:ascii="宋体" w:hAnsi="宋体" w:eastAsia="宋体" w:cs="宋体"/>
        </w:rPr>
        <w:t>(四川丹棱经济开发区A区)兴欣大道1号</w:t>
      </w:r>
      <w:r>
        <w:rPr>
          <w:rFonts w:hint="eastAsia" w:ascii="宋体" w:hAnsi="宋体" w:eastAsia="宋体" w:cs="宋体"/>
        </w:rPr>
        <w:t>】</w:t>
      </w:r>
    </w:p>
    <w:p w14:paraId="17CC78C3">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联系方式：【</w:t>
      </w:r>
      <w:r>
        <w:rPr>
          <w:rFonts w:hint="eastAsia" w:cs="宋体"/>
          <w:color w:val="auto"/>
          <w:kern w:val="2"/>
          <w:sz w:val="21"/>
          <w:szCs w:val="22"/>
          <w:lang w:val="en-US" w:eastAsia="zh-CN"/>
        </w:rPr>
        <w:t>杨超 13408453319</w:t>
      </w:r>
      <w:r>
        <w:rPr>
          <w:rFonts w:hint="eastAsia" w:cs="宋体"/>
          <w:color w:val="auto"/>
          <w:kern w:val="2"/>
          <w:sz w:val="21"/>
          <w:szCs w:val="22"/>
        </w:rPr>
        <w:t>】</w:t>
      </w:r>
    </w:p>
    <w:p w14:paraId="00651768">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14:paraId="37D588A9">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                     】</w:t>
      </w:r>
    </w:p>
    <w:p w14:paraId="00C41C6C">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送达地址：【                   】</w:t>
      </w:r>
    </w:p>
    <w:p w14:paraId="45813555">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联系方式：【                   】   </w:t>
      </w:r>
    </w:p>
    <w:p w14:paraId="2A2F2AA5">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14:paraId="771B8020">
      <w:pPr>
        <w:spacing w:before="156" w:beforeLines="50" w:line="360" w:lineRule="auto"/>
        <w:ind w:firstLine="440" w:firstLineChars="200"/>
        <w:rPr>
          <w:rFonts w:ascii="宋体" w:hAnsi="宋体" w:eastAsia="宋体" w:cs="宋体"/>
        </w:rPr>
      </w:pPr>
      <w:r>
        <w:rPr>
          <w:rFonts w:hint="eastAsia" w:ascii="宋体" w:hAnsi="宋体" w:eastAsia="宋体" w:cs="宋体"/>
        </w:rPr>
        <w:t>鉴于竞标人在参加招标人【       】项目的竞标工作过程中，招标人将向竞标人披露与招标人项目相关的信息（简称“保密信息”）。双方同意就保密信息的披露及保密签署本协议。</w:t>
      </w:r>
    </w:p>
    <w:p w14:paraId="294C8B49">
      <w:pPr>
        <w:pStyle w:val="31"/>
        <w:numPr>
          <w:ilvl w:val="0"/>
          <w:numId w:val="12"/>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保密信息的定义</w:t>
      </w:r>
    </w:p>
    <w:p w14:paraId="2B80AF43">
      <w:pPr>
        <w:pStyle w:val="31"/>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指招标人以任何方式（包括书面后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1AFCAD87">
      <w:pPr>
        <w:pStyle w:val="31"/>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保密信息也包括任何含有或源于其他任何保密信息的材料、数据等，无论它是由招标人、竞标人或任何其他人员编制。</w:t>
      </w:r>
    </w:p>
    <w:p w14:paraId="1517FB53">
      <w:pPr>
        <w:pStyle w:val="31"/>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二、保密措施</w:t>
      </w:r>
    </w:p>
    <w:p w14:paraId="45E69D8F">
      <w:pPr>
        <w:pStyle w:val="31"/>
        <w:numPr>
          <w:ilvl w:val="0"/>
          <w:numId w:val="13"/>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6ED024C8">
      <w:pPr>
        <w:pStyle w:val="31"/>
        <w:numPr>
          <w:ilvl w:val="0"/>
          <w:numId w:val="13"/>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11B800E4">
      <w:pPr>
        <w:pStyle w:val="31"/>
        <w:numPr>
          <w:ilvl w:val="0"/>
          <w:numId w:val="13"/>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招标人提供的保密信息，仅可用于招标人与竞标人之间的交易与合作，未经招标人书面同意，竞标人不得作其他用途。</w:t>
      </w:r>
    </w:p>
    <w:p w14:paraId="0965DEC5">
      <w:pPr>
        <w:pStyle w:val="31"/>
        <w:numPr>
          <w:ilvl w:val="0"/>
          <w:numId w:val="13"/>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740AD3EF">
      <w:pPr>
        <w:pStyle w:val="31"/>
        <w:numPr>
          <w:ilvl w:val="0"/>
          <w:numId w:val="13"/>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15C0E97A">
      <w:pPr>
        <w:pStyle w:val="31"/>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三、违约责任</w:t>
      </w:r>
    </w:p>
    <w:p w14:paraId="337A8196">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1.若竞标人能履行其在本协议项下的部分或全部义务或责任，其应被视为违反了本协议，并应对招标人所遭受或引致的损失承担赔偿责任。</w:t>
      </w:r>
    </w:p>
    <w:p w14:paraId="5DC6D516">
      <w:pPr>
        <w:pStyle w:val="31"/>
        <w:numPr>
          <w:ilvl w:val="0"/>
          <w:numId w:val="14"/>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7374A829">
      <w:pPr>
        <w:pStyle w:val="31"/>
        <w:numPr>
          <w:ilvl w:val="0"/>
          <w:numId w:val="14"/>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取消其本次竞标及后续全部的竞标资格并没收竞标保证金；若定标后，中标的竞标人违反本协议，招标人有权立即解除双方的全部项目协议及合同，相应损失由竞标人全部承担，竞标保证金不予退还。</w:t>
      </w:r>
    </w:p>
    <w:p w14:paraId="6648BA35">
      <w:pPr>
        <w:pStyle w:val="31"/>
        <w:numPr>
          <w:ilvl w:val="0"/>
          <w:numId w:val="14"/>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4DEDA18D">
      <w:pPr>
        <w:pStyle w:val="31"/>
        <w:numPr>
          <w:ilvl w:val="0"/>
          <w:numId w:val="15"/>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争议解决</w:t>
      </w:r>
    </w:p>
    <w:p w14:paraId="20D20D34">
      <w:pPr>
        <w:pStyle w:val="31"/>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1.协议的订立、效力、解释及履行均适用中华人民共和国相关法律法规。</w:t>
      </w:r>
    </w:p>
    <w:p w14:paraId="028BA25F">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4B623F2C">
      <w:pPr>
        <w:pStyle w:val="31"/>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五、附则</w:t>
      </w:r>
    </w:p>
    <w:p w14:paraId="5A2AFC18">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134588BE">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2.未经双方事先书面同意，本协议不得进行任何修改、变更或补充。</w:t>
      </w:r>
    </w:p>
    <w:p w14:paraId="76AB0621">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43303CA5">
      <w:pPr>
        <w:pStyle w:val="31"/>
        <w:spacing w:beforeAutospacing="0" w:afterAutospacing="0" w:line="360" w:lineRule="auto"/>
        <w:ind w:firstLine="480"/>
        <w:jc w:val="both"/>
        <w:outlineLvl w:val="1"/>
        <w:rPr>
          <w:rFonts w:cs="宋体"/>
          <w:color w:val="auto"/>
          <w:kern w:val="2"/>
          <w:sz w:val="21"/>
          <w:szCs w:val="22"/>
        </w:rPr>
      </w:pPr>
      <w:r>
        <w:rPr>
          <w:rFonts w:hint="eastAsia" w:cs="宋体"/>
          <w:color w:val="auto"/>
          <w:kern w:val="2"/>
          <w:sz w:val="21"/>
          <w:szCs w:val="22"/>
        </w:rPr>
        <w:t>4.本协议一式【贰】份，双方各执【壹】份，具有同等法律效力。</w:t>
      </w:r>
    </w:p>
    <w:p w14:paraId="5BE168E9">
      <w:pPr>
        <w:pStyle w:val="31"/>
        <w:spacing w:beforeAutospacing="0" w:afterAutospacing="0" w:line="360" w:lineRule="auto"/>
        <w:ind w:firstLine="420" w:firstLineChars="200"/>
        <w:jc w:val="both"/>
        <w:rPr>
          <w:rFonts w:cs="宋体"/>
          <w:color w:val="auto"/>
          <w:kern w:val="2"/>
          <w:sz w:val="21"/>
          <w:szCs w:val="22"/>
        </w:rPr>
      </w:pPr>
    </w:p>
    <w:p w14:paraId="75D1E5A1">
      <w:pPr>
        <w:pStyle w:val="31"/>
        <w:spacing w:beforeAutospacing="0" w:afterAutospacing="0" w:line="360" w:lineRule="auto"/>
        <w:ind w:firstLine="420" w:firstLineChars="200"/>
        <w:jc w:val="both"/>
        <w:rPr>
          <w:rFonts w:cs="宋体"/>
          <w:color w:val="auto"/>
          <w:kern w:val="2"/>
          <w:sz w:val="21"/>
          <w:szCs w:val="22"/>
        </w:rPr>
      </w:pPr>
    </w:p>
    <w:p w14:paraId="76193417">
      <w:pPr>
        <w:pStyle w:val="3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招标人（盖章）：                    竞标人（盖章）：        </w:t>
      </w:r>
    </w:p>
    <w:p w14:paraId="0A5B8386">
      <w:pPr>
        <w:pStyle w:val="31"/>
        <w:spacing w:beforeAutospacing="0" w:afterAutospacing="0" w:line="360" w:lineRule="auto"/>
        <w:ind w:firstLine="480"/>
        <w:jc w:val="both"/>
        <w:rPr>
          <w:rFonts w:cs="宋体"/>
          <w:color w:val="auto"/>
          <w:kern w:val="2"/>
          <w:sz w:val="21"/>
          <w:szCs w:val="22"/>
        </w:rPr>
      </w:pPr>
    </w:p>
    <w:p w14:paraId="01E5BFF4">
      <w:pPr>
        <w:pStyle w:val="31"/>
        <w:spacing w:beforeAutospacing="0" w:afterAutospacing="0" w:line="360" w:lineRule="auto"/>
        <w:ind w:firstLine="480"/>
        <w:jc w:val="both"/>
        <w:rPr>
          <w:rFonts w:cs="宋体"/>
          <w:color w:val="auto"/>
          <w:kern w:val="2"/>
          <w:sz w:val="21"/>
          <w:szCs w:val="22"/>
        </w:rPr>
      </w:pPr>
    </w:p>
    <w:p w14:paraId="022C2C61">
      <w:pPr>
        <w:pStyle w:val="31"/>
        <w:spacing w:beforeAutospacing="0" w:afterAutospacing="0" w:line="360" w:lineRule="auto"/>
        <w:jc w:val="both"/>
        <w:rPr>
          <w:rFonts w:cs="宋体"/>
          <w:color w:val="auto"/>
          <w:kern w:val="2"/>
          <w:sz w:val="21"/>
          <w:szCs w:val="22"/>
        </w:rPr>
      </w:pPr>
      <w:r>
        <w:rPr>
          <w:rFonts w:hint="eastAsia" w:cs="宋体"/>
          <w:color w:val="auto"/>
          <w:kern w:val="2"/>
          <w:sz w:val="21"/>
          <w:szCs w:val="22"/>
        </w:rPr>
        <w:t>【       】年【】月【】日                【       】年【】月【】日</w:t>
      </w:r>
    </w:p>
    <w:p w14:paraId="354B0C1B">
      <w:pPr>
        <w:spacing w:line="360" w:lineRule="auto"/>
        <w:jc w:val="center"/>
        <w:rPr>
          <w:rFonts w:ascii="宋体" w:hAnsi="宋体" w:eastAsia="宋体" w:cs="宋体"/>
        </w:rPr>
      </w:pPr>
    </w:p>
    <w:p w14:paraId="5E1E7B08">
      <w:pPr>
        <w:spacing w:line="360" w:lineRule="auto"/>
        <w:jc w:val="center"/>
        <w:rPr>
          <w:rFonts w:ascii="宋体" w:hAnsi="宋体" w:eastAsia="宋体" w:cs="宋体"/>
        </w:rPr>
      </w:pPr>
    </w:p>
    <w:p w14:paraId="639973A8">
      <w:pPr>
        <w:spacing w:line="360" w:lineRule="auto"/>
        <w:jc w:val="center"/>
        <w:rPr>
          <w:rFonts w:ascii="宋体" w:hAnsi="宋体" w:eastAsia="宋体" w:cs="宋体"/>
        </w:rPr>
      </w:pPr>
    </w:p>
    <w:p w14:paraId="50646ED3">
      <w:pPr>
        <w:spacing w:line="360" w:lineRule="auto"/>
        <w:jc w:val="center"/>
        <w:rPr>
          <w:rFonts w:ascii="宋体" w:hAnsi="宋体" w:eastAsia="宋体" w:cs="宋体"/>
        </w:rPr>
      </w:pPr>
    </w:p>
    <w:p w14:paraId="509B6E81">
      <w:pPr>
        <w:spacing w:line="360" w:lineRule="auto"/>
        <w:jc w:val="center"/>
        <w:rPr>
          <w:rFonts w:ascii="宋体" w:hAnsi="宋体" w:eastAsia="宋体" w:cs="宋体"/>
        </w:rPr>
      </w:pPr>
    </w:p>
    <w:p w14:paraId="59D83201">
      <w:pPr>
        <w:spacing w:line="360" w:lineRule="auto"/>
        <w:jc w:val="center"/>
        <w:rPr>
          <w:rFonts w:ascii="宋体" w:hAnsi="宋体" w:eastAsia="宋体" w:cs="宋体"/>
        </w:rPr>
      </w:pPr>
    </w:p>
    <w:p w14:paraId="016F9D6F">
      <w:pPr>
        <w:spacing w:line="360" w:lineRule="auto"/>
        <w:jc w:val="center"/>
        <w:rPr>
          <w:rFonts w:ascii="宋体" w:hAnsi="宋体" w:eastAsia="宋体" w:cs="宋体"/>
        </w:rPr>
      </w:pPr>
    </w:p>
    <w:p w14:paraId="426540BE">
      <w:pPr>
        <w:spacing w:line="360" w:lineRule="auto"/>
        <w:jc w:val="center"/>
        <w:rPr>
          <w:rFonts w:ascii="宋体" w:hAnsi="宋体" w:eastAsia="宋体" w:cs="宋体"/>
        </w:rPr>
      </w:pPr>
    </w:p>
    <w:p w14:paraId="1EC5C622">
      <w:pPr>
        <w:spacing w:line="360" w:lineRule="auto"/>
        <w:jc w:val="center"/>
        <w:rPr>
          <w:rFonts w:ascii="宋体" w:hAnsi="宋体" w:eastAsia="宋体" w:cs="宋体"/>
        </w:rPr>
      </w:pPr>
    </w:p>
    <w:p w14:paraId="3B7541B8">
      <w:pPr>
        <w:spacing w:line="360" w:lineRule="auto"/>
        <w:jc w:val="center"/>
        <w:rPr>
          <w:rFonts w:ascii="宋体" w:hAnsi="宋体" w:eastAsia="宋体" w:cs="宋体"/>
        </w:rPr>
      </w:pPr>
    </w:p>
    <w:p w14:paraId="4A7EFBEC">
      <w:pPr>
        <w:spacing w:line="360" w:lineRule="auto"/>
        <w:rPr>
          <w:rFonts w:ascii="宋体" w:hAnsi="宋体" w:eastAsia="宋体" w:cs="宋体"/>
        </w:rPr>
      </w:pPr>
    </w:p>
    <w:p w14:paraId="71F6B1E8">
      <w:pPr>
        <w:pStyle w:val="68"/>
        <w:ind w:firstLine="0" w:firstLineChars="0"/>
        <w:outlineLvl w:val="2"/>
        <w:rPr>
          <w:rFonts w:ascii="宋体" w:hAnsi="宋体" w:eastAsia="宋体" w:cs="宋体"/>
        </w:rPr>
      </w:pPr>
      <w:r>
        <w:rPr>
          <w:rFonts w:hint="eastAsia" w:ascii="宋体" w:hAnsi="宋体" w:eastAsia="宋体" w:cs="宋体"/>
        </w:rPr>
        <w:t>*附件8</w:t>
      </w:r>
      <w:bookmarkStart w:id="30" w:name="_Hlk115361942"/>
    </w:p>
    <w:bookmarkEnd w:id="30"/>
    <w:p w14:paraId="6EFEF215">
      <w:pPr>
        <w:pStyle w:val="5"/>
        <w:spacing w:line="360" w:lineRule="auto"/>
        <w:jc w:val="center"/>
        <w:rPr>
          <w:rFonts w:ascii="宋体" w:hAnsi="宋体" w:eastAsia="宋体" w:cstheme="minorBidi"/>
          <w:color w:val="auto"/>
          <w:sz w:val="32"/>
          <w:szCs w:val="32"/>
        </w:rPr>
      </w:pPr>
      <w:bookmarkStart w:id="31" w:name="_Toc101567010"/>
      <w:r>
        <w:rPr>
          <w:rFonts w:hint="eastAsia" w:ascii="宋体" w:hAnsi="宋体" w:eastAsia="宋体" w:cstheme="minorBidi"/>
          <w:color w:val="auto"/>
          <w:sz w:val="32"/>
          <w:szCs w:val="32"/>
        </w:rPr>
        <w:t>诚信</w:t>
      </w:r>
      <w:r>
        <w:rPr>
          <w:rFonts w:ascii="宋体" w:hAnsi="宋体" w:eastAsia="宋体" w:cstheme="minorBidi"/>
          <w:color w:val="auto"/>
          <w:sz w:val="32"/>
          <w:szCs w:val="32"/>
        </w:rPr>
        <w:t>报价承诺书</w:t>
      </w:r>
      <w:bookmarkEnd w:id="31"/>
    </w:p>
    <w:p w14:paraId="2DD25274">
      <w:pPr>
        <w:spacing w:line="360" w:lineRule="auto"/>
        <w:rPr>
          <w:rFonts w:ascii="宋体" w:hAnsi="宋体" w:eastAsia="宋体"/>
          <w:szCs w:val="30"/>
        </w:rPr>
      </w:pPr>
      <w:r>
        <w:rPr>
          <w:rFonts w:hint="eastAsia" w:ascii="宋体" w:hAnsi="宋体" w:eastAsia="宋体"/>
          <w:szCs w:val="21"/>
          <w:u w:val="single"/>
        </w:rPr>
        <w:t>眉山琏升光伏科技有限公司</w:t>
      </w:r>
      <w:r>
        <w:rPr>
          <w:rFonts w:ascii="宋体" w:hAnsi="宋体" w:eastAsia="宋体"/>
          <w:szCs w:val="30"/>
        </w:rPr>
        <w:t>：</w:t>
      </w:r>
    </w:p>
    <w:p w14:paraId="511874E3">
      <w:pPr>
        <w:spacing w:line="360" w:lineRule="auto"/>
        <w:ind w:firstLine="440" w:firstLineChars="200"/>
        <w:rPr>
          <w:rFonts w:ascii="宋体" w:hAnsi="宋体" w:eastAsia="宋体" w:cs="宋体"/>
        </w:rPr>
      </w:pPr>
      <w:r>
        <w:rPr>
          <w:rFonts w:hint="eastAsia" w:ascii="宋体" w:hAnsi="宋体" w:eastAsia="宋体"/>
          <w:szCs w:val="30"/>
        </w:rPr>
        <w:t>关于</w:t>
      </w:r>
      <w:r>
        <w:rPr>
          <w:rFonts w:hint="eastAsia" w:ascii="宋体" w:hAnsi="宋体" w:eastAsia="宋体"/>
          <w:color w:val="000000"/>
          <w:u w:val="single"/>
        </w:rPr>
        <w:t>眉山琏升光伏科技有限公司新能源8GW高效异质结电池项目</w:t>
      </w:r>
      <w:r>
        <w:rPr>
          <w:rFonts w:ascii="宋体" w:hAnsi="宋体" w:eastAsia="宋体"/>
          <w:color w:val="000000"/>
          <w:u w:val="single"/>
        </w:rPr>
        <w:t>—</w:t>
      </w:r>
      <w:r>
        <w:rPr>
          <w:rFonts w:hint="eastAsia" w:ascii="宋体" w:hAnsi="宋体" w:eastAsia="宋体"/>
          <w:color w:val="000000"/>
          <w:u w:val="single"/>
          <w:lang w:val="en-US" w:eastAsia="zh-CN"/>
        </w:rPr>
        <w:t>2026年</w:t>
      </w:r>
      <w:r>
        <w:rPr>
          <w:rFonts w:hint="eastAsia" w:ascii="宋体" w:hAnsi="宋体" w:eastAsia="宋体"/>
          <w:color w:val="000000"/>
          <w:u w:val="single"/>
        </w:rPr>
        <w:t>国际物流运输项目</w:t>
      </w:r>
      <w:r>
        <w:rPr>
          <w:rFonts w:ascii="宋体" w:hAnsi="宋体" w:eastAsia="宋体"/>
          <w:szCs w:val="30"/>
        </w:rPr>
        <w:t>，</w:t>
      </w:r>
      <w:r>
        <w:rPr>
          <w:rFonts w:hint="eastAsia" w:ascii="宋体" w:hAnsi="宋体" w:eastAsia="宋体"/>
          <w:szCs w:val="30"/>
        </w:rPr>
        <w:t>我司在此</w:t>
      </w:r>
      <w:r>
        <w:rPr>
          <w:rFonts w:ascii="宋体" w:hAnsi="宋体" w:eastAsia="宋体"/>
          <w:szCs w:val="30"/>
        </w:rPr>
        <w:t>承诺，关于该项目项下的</w:t>
      </w:r>
      <w:r>
        <w:rPr>
          <w:rFonts w:hint="eastAsia" w:ascii="宋体" w:hAnsi="宋体" w:eastAsia="宋体"/>
          <w:szCs w:val="30"/>
        </w:rPr>
        <w:t>所有投标</w:t>
      </w:r>
      <w:r>
        <w:rPr>
          <w:rFonts w:ascii="宋体" w:hAnsi="宋体" w:eastAsia="宋体"/>
          <w:szCs w:val="30"/>
        </w:rPr>
        <w:t>报价，均是</w:t>
      </w:r>
      <w:r>
        <w:rPr>
          <w:rFonts w:hint="eastAsia" w:ascii="宋体" w:hAnsi="宋体" w:eastAsia="宋体"/>
          <w:szCs w:val="30"/>
        </w:rPr>
        <w:t>我司</w:t>
      </w:r>
      <w:r>
        <w:rPr>
          <w:rFonts w:ascii="宋体" w:hAnsi="宋体" w:eastAsia="宋体"/>
          <w:szCs w:val="30"/>
        </w:rPr>
        <w:t>通过合理</w:t>
      </w:r>
      <w:r>
        <w:rPr>
          <w:rFonts w:hint="eastAsia" w:ascii="宋体" w:hAnsi="宋体" w:eastAsia="宋体"/>
          <w:szCs w:val="30"/>
        </w:rPr>
        <w:t>成本</w:t>
      </w:r>
      <w:r>
        <w:rPr>
          <w:rFonts w:ascii="宋体" w:hAnsi="宋体" w:eastAsia="宋体"/>
          <w:szCs w:val="30"/>
        </w:rPr>
        <w:t>测算后的</w:t>
      </w:r>
      <w:r>
        <w:rPr>
          <w:rFonts w:hint="eastAsia" w:ascii="宋体" w:hAnsi="宋体" w:eastAsia="宋体"/>
          <w:szCs w:val="30"/>
        </w:rPr>
        <w:t>综合</w:t>
      </w:r>
      <w:r>
        <w:rPr>
          <w:rFonts w:ascii="宋体" w:hAnsi="宋体" w:eastAsia="宋体"/>
          <w:szCs w:val="30"/>
        </w:rPr>
        <w:t>报价，</w:t>
      </w:r>
      <w:r>
        <w:rPr>
          <w:rFonts w:hint="eastAsia" w:ascii="宋体" w:hAnsi="宋体" w:eastAsia="宋体"/>
          <w:szCs w:val="30"/>
        </w:rPr>
        <w:t>所有报价</w:t>
      </w:r>
      <w:r>
        <w:rPr>
          <w:rFonts w:ascii="宋体" w:hAnsi="宋体" w:eastAsia="宋体"/>
          <w:szCs w:val="30"/>
        </w:rPr>
        <w:t>均</w:t>
      </w:r>
      <w:r>
        <w:rPr>
          <w:rFonts w:hint="eastAsia" w:ascii="宋体" w:hAnsi="宋体" w:eastAsia="宋体"/>
          <w:szCs w:val="30"/>
        </w:rPr>
        <w:t>不属于法律</w:t>
      </w:r>
      <w:r>
        <w:rPr>
          <w:rFonts w:ascii="宋体" w:hAnsi="宋体" w:eastAsia="宋体"/>
          <w:szCs w:val="30"/>
        </w:rPr>
        <w:t>规定的明显</w:t>
      </w:r>
      <w:r>
        <w:rPr>
          <w:rFonts w:hint="eastAsia" w:ascii="宋体" w:hAnsi="宋体" w:eastAsia="宋体"/>
          <w:szCs w:val="30"/>
        </w:rPr>
        <w:t>不合理</w:t>
      </w:r>
      <w:r>
        <w:rPr>
          <w:rFonts w:ascii="宋体" w:hAnsi="宋体" w:eastAsia="宋体"/>
          <w:szCs w:val="30"/>
        </w:rPr>
        <w:t>低价</w:t>
      </w:r>
      <w:r>
        <w:rPr>
          <w:rFonts w:hint="eastAsia" w:ascii="宋体" w:hAnsi="宋体" w:eastAsia="宋体"/>
          <w:szCs w:val="30"/>
        </w:rPr>
        <w:t>或高价</w:t>
      </w:r>
      <w:r>
        <w:rPr>
          <w:rFonts w:ascii="宋体" w:hAnsi="宋体" w:eastAsia="宋体"/>
          <w:szCs w:val="30"/>
        </w:rPr>
        <w:t>，如招标人</w:t>
      </w:r>
      <w:r>
        <w:rPr>
          <w:rFonts w:hint="eastAsia" w:ascii="宋体" w:hAnsi="宋体" w:eastAsia="宋体"/>
          <w:szCs w:val="30"/>
        </w:rPr>
        <w:t>对</w:t>
      </w:r>
      <w:r>
        <w:rPr>
          <w:rFonts w:ascii="宋体" w:hAnsi="宋体" w:eastAsia="宋体"/>
          <w:szCs w:val="30"/>
        </w:rPr>
        <w:t>我司的投标报价</w:t>
      </w:r>
      <w:r>
        <w:rPr>
          <w:rFonts w:hint="eastAsia" w:ascii="宋体" w:hAnsi="宋体" w:eastAsia="宋体"/>
          <w:szCs w:val="30"/>
        </w:rPr>
        <w:t>存在</w:t>
      </w:r>
      <w:r>
        <w:rPr>
          <w:rFonts w:ascii="宋体" w:hAnsi="宋体" w:eastAsia="宋体"/>
          <w:szCs w:val="30"/>
        </w:rPr>
        <w:t>疑问，我司应当给予</w:t>
      </w:r>
      <w:r>
        <w:rPr>
          <w:rFonts w:hint="eastAsia" w:ascii="宋体" w:hAnsi="宋体" w:eastAsia="宋体"/>
          <w:szCs w:val="30"/>
        </w:rPr>
        <w:t>书面</w:t>
      </w:r>
      <w:r>
        <w:rPr>
          <w:rFonts w:ascii="宋体" w:hAnsi="宋体" w:eastAsia="宋体"/>
          <w:szCs w:val="30"/>
        </w:rPr>
        <w:t>合理说明</w:t>
      </w:r>
      <w:r>
        <w:rPr>
          <w:rFonts w:hint="eastAsia" w:ascii="宋体" w:hAnsi="宋体" w:eastAsia="宋体"/>
          <w:szCs w:val="30"/>
        </w:rPr>
        <w:t>。合理说明应当</w:t>
      </w:r>
      <w:r>
        <w:rPr>
          <w:rFonts w:ascii="宋体" w:hAnsi="宋体" w:eastAsia="宋体"/>
          <w:szCs w:val="30"/>
        </w:rPr>
        <w:t>通过</w:t>
      </w:r>
      <w:r>
        <w:rPr>
          <w:rFonts w:hint="eastAsia" w:ascii="宋体" w:hAnsi="宋体" w:eastAsia="宋体"/>
          <w:szCs w:val="30"/>
        </w:rPr>
        <w:t>电子邮件或纸质回函的方式做出</w:t>
      </w:r>
      <w:r>
        <w:rPr>
          <w:rFonts w:ascii="宋体" w:hAnsi="宋体" w:eastAsia="宋体"/>
          <w:szCs w:val="30"/>
        </w:rPr>
        <w:t>。</w:t>
      </w:r>
      <w:r>
        <w:rPr>
          <w:rFonts w:hint="eastAsia" w:ascii="宋体" w:hAnsi="宋体" w:eastAsia="宋体"/>
          <w:szCs w:val="30"/>
        </w:rPr>
        <w:t>如我司在</w:t>
      </w:r>
      <w:r>
        <w:rPr>
          <w:rFonts w:ascii="宋体" w:hAnsi="宋体" w:eastAsia="宋体"/>
          <w:szCs w:val="30"/>
        </w:rPr>
        <w:t>招标人给出的合理期限内</w:t>
      </w:r>
      <w:r>
        <w:rPr>
          <w:rFonts w:hint="eastAsia" w:ascii="宋体" w:hAnsi="宋体" w:eastAsia="宋体"/>
          <w:szCs w:val="30"/>
        </w:rPr>
        <w:t>不能给出书面合理说明的，招标人可以</w:t>
      </w:r>
      <w:r>
        <w:rPr>
          <w:rFonts w:ascii="宋体" w:hAnsi="宋体" w:eastAsia="宋体"/>
          <w:szCs w:val="30"/>
        </w:rPr>
        <w:t>将其</w:t>
      </w:r>
      <w:r>
        <w:rPr>
          <w:rFonts w:hint="eastAsia" w:ascii="宋体" w:hAnsi="宋体" w:eastAsia="宋体"/>
          <w:szCs w:val="30"/>
        </w:rPr>
        <w:t>作为无效标处理。</w:t>
      </w:r>
    </w:p>
    <w:p w14:paraId="5EEAB3CE">
      <w:pPr>
        <w:spacing w:line="360" w:lineRule="auto"/>
        <w:ind w:firstLine="440" w:firstLineChars="200"/>
        <w:rPr>
          <w:rFonts w:ascii="宋体" w:hAnsi="宋体" w:eastAsia="宋体"/>
          <w:szCs w:val="30"/>
        </w:rPr>
      </w:pPr>
      <w:r>
        <w:rPr>
          <w:rFonts w:hint="eastAsia" w:ascii="宋体" w:hAnsi="宋体" w:eastAsia="宋体"/>
          <w:szCs w:val="30"/>
        </w:rPr>
        <w:t>我司</w:t>
      </w:r>
      <w:r>
        <w:rPr>
          <w:rFonts w:ascii="宋体" w:hAnsi="宋体" w:eastAsia="宋体"/>
          <w:szCs w:val="30"/>
        </w:rPr>
        <w:t>在此承诺，</w:t>
      </w:r>
      <w:r>
        <w:rPr>
          <w:rFonts w:hint="eastAsia" w:ascii="宋体" w:hAnsi="宋体" w:eastAsia="宋体"/>
          <w:szCs w:val="30"/>
        </w:rPr>
        <w:t>如我司中标</w:t>
      </w:r>
      <w:r>
        <w:rPr>
          <w:rFonts w:ascii="宋体" w:hAnsi="宋体" w:eastAsia="宋体"/>
          <w:szCs w:val="30"/>
        </w:rPr>
        <w:t>，在</w:t>
      </w:r>
      <w:r>
        <w:rPr>
          <w:rFonts w:hint="eastAsia" w:ascii="宋体" w:hAnsi="宋体" w:eastAsia="宋体"/>
          <w:szCs w:val="30"/>
        </w:rPr>
        <w:t>履约</w:t>
      </w:r>
      <w:r>
        <w:rPr>
          <w:rFonts w:ascii="宋体" w:hAnsi="宋体" w:eastAsia="宋体"/>
          <w:szCs w:val="30"/>
        </w:rPr>
        <w:t>过程中</w:t>
      </w:r>
      <w:r>
        <w:rPr>
          <w:rFonts w:hint="eastAsia" w:ascii="宋体" w:hAnsi="宋体" w:eastAsia="宋体"/>
          <w:szCs w:val="30"/>
        </w:rPr>
        <w:t>，如</w:t>
      </w:r>
      <w:r>
        <w:rPr>
          <w:rFonts w:ascii="宋体" w:hAnsi="宋体" w:eastAsia="宋体"/>
          <w:szCs w:val="30"/>
        </w:rPr>
        <w:t>因我司</w:t>
      </w:r>
      <w:r>
        <w:rPr>
          <w:rFonts w:hint="eastAsia" w:ascii="宋体" w:hAnsi="宋体" w:eastAsia="宋体"/>
          <w:szCs w:val="30"/>
        </w:rPr>
        <w:t>项目质量不合格</w:t>
      </w:r>
      <w:r>
        <w:rPr>
          <w:rFonts w:ascii="宋体" w:hAnsi="宋体" w:eastAsia="宋体"/>
          <w:szCs w:val="30"/>
        </w:rPr>
        <w:t>或不能诚信履约</w:t>
      </w:r>
      <w:r>
        <w:rPr>
          <w:rFonts w:hint="eastAsia" w:ascii="宋体" w:hAnsi="宋体" w:eastAsia="宋体"/>
          <w:szCs w:val="30"/>
        </w:rPr>
        <w:t>给招标人或其他第三人造成任何损失</w:t>
      </w:r>
      <w:r>
        <w:rPr>
          <w:rFonts w:ascii="宋体" w:hAnsi="宋体" w:eastAsia="宋体"/>
          <w:szCs w:val="30"/>
        </w:rPr>
        <w:t>，均由我</w:t>
      </w:r>
      <w:r>
        <w:rPr>
          <w:rFonts w:hint="eastAsia" w:ascii="宋体" w:hAnsi="宋体" w:eastAsia="宋体"/>
          <w:szCs w:val="30"/>
        </w:rPr>
        <w:t>司</w:t>
      </w:r>
      <w:r>
        <w:rPr>
          <w:rFonts w:ascii="宋体" w:hAnsi="宋体" w:eastAsia="宋体"/>
          <w:szCs w:val="30"/>
        </w:rPr>
        <w:t>承担。</w:t>
      </w:r>
    </w:p>
    <w:p w14:paraId="4FE4499D">
      <w:pPr>
        <w:spacing w:line="360" w:lineRule="auto"/>
        <w:ind w:firstLine="440" w:firstLineChars="200"/>
        <w:rPr>
          <w:rFonts w:ascii="宋体" w:hAnsi="宋体" w:eastAsia="宋体"/>
          <w:szCs w:val="30"/>
        </w:rPr>
      </w:pPr>
    </w:p>
    <w:p w14:paraId="698DF36A">
      <w:pPr>
        <w:spacing w:line="360" w:lineRule="auto"/>
        <w:ind w:firstLine="440" w:firstLineChars="200"/>
        <w:rPr>
          <w:rFonts w:ascii="宋体" w:hAnsi="宋体" w:eastAsia="宋体"/>
          <w:szCs w:val="30"/>
        </w:rPr>
      </w:pPr>
    </w:p>
    <w:p w14:paraId="052497D3">
      <w:pPr>
        <w:spacing w:line="360" w:lineRule="auto"/>
        <w:ind w:firstLine="440" w:firstLineChars="200"/>
        <w:rPr>
          <w:rFonts w:ascii="宋体" w:hAnsi="宋体" w:eastAsia="宋体"/>
          <w:szCs w:val="30"/>
        </w:rPr>
      </w:pPr>
    </w:p>
    <w:p w14:paraId="045AC40E">
      <w:pPr>
        <w:spacing w:line="360" w:lineRule="auto"/>
        <w:ind w:firstLine="440" w:firstLineChars="200"/>
        <w:rPr>
          <w:rFonts w:ascii="宋体" w:hAnsi="宋体" w:eastAsia="宋体"/>
          <w:szCs w:val="30"/>
        </w:rPr>
      </w:pPr>
    </w:p>
    <w:p w14:paraId="261D2C6E">
      <w:pPr>
        <w:spacing w:line="360" w:lineRule="auto"/>
        <w:ind w:firstLine="440" w:firstLineChars="200"/>
        <w:rPr>
          <w:rFonts w:ascii="宋体" w:hAnsi="宋体" w:eastAsia="宋体"/>
          <w:szCs w:val="30"/>
        </w:rPr>
      </w:pPr>
    </w:p>
    <w:p w14:paraId="3477E4B9">
      <w:pPr>
        <w:spacing w:line="360" w:lineRule="auto"/>
        <w:ind w:firstLine="440" w:firstLineChars="200"/>
        <w:rPr>
          <w:rFonts w:ascii="宋体" w:hAnsi="宋体" w:eastAsia="宋体"/>
          <w:szCs w:val="30"/>
        </w:rPr>
      </w:pPr>
      <w:r>
        <w:rPr>
          <w:rFonts w:hint="eastAsia" w:ascii="宋体" w:hAnsi="宋体" w:eastAsia="宋体"/>
          <w:szCs w:val="30"/>
        </w:rPr>
        <w:t xml:space="preserve">                          </w:t>
      </w:r>
      <w:r>
        <w:rPr>
          <w:rFonts w:ascii="宋体" w:hAnsi="宋体" w:eastAsia="宋体"/>
          <w:szCs w:val="30"/>
        </w:rPr>
        <w:t xml:space="preserve">                    </w:t>
      </w:r>
      <w:r>
        <w:rPr>
          <w:rFonts w:hint="eastAsia" w:ascii="宋体" w:hAnsi="宋体" w:eastAsia="宋体"/>
          <w:szCs w:val="30"/>
        </w:rPr>
        <w:t xml:space="preserve"> 投标人</w:t>
      </w:r>
      <w:r>
        <w:rPr>
          <w:rFonts w:ascii="宋体" w:hAnsi="宋体" w:eastAsia="宋体"/>
          <w:szCs w:val="30"/>
        </w:rPr>
        <w:t>：</w:t>
      </w:r>
    </w:p>
    <w:p w14:paraId="195227EC">
      <w:pPr>
        <w:spacing w:line="360" w:lineRule="auto"/>
        <w:ind w:firstLine="440" w:firstLineChars="200"/>
        <w:rPr>
          <w:rFonts w:ascii="宋体" w:hAnsi="宋体" w:eastAsia="宋体"/>
          <w:szCs w:val="30"/>
        </w:rPr>
      </w:pPr>
      <w:r>
        <w:rPr>
          <w:rFonts w:hint="eastAsia" w:ascii="宋体" w:hAnsi="宋体" w:eastAsia="宋体"/>
          <w:szCs w:val="30"/>
        </w:rPr>
        <w:t xml:space="preserve">                        </w:t>
      </w:r>
      <w:r>
        <w:rPr>
          <w:rFonts w:ascii="宋体" w:hAnsi="宋体" w:eastAsia="宋体"/>
          <w:szCs w:val="30"/>
        </w:rPr>
        <w:t xml:space="preserve">                    </w:t>
      </w:r>
      <w:r>
        <w:rPr>
          <w:rFonts w:hint="eastAsia" w:ascii="宋体" w:hAnsi="宋体" w:eastAsia="宋体"/>
          <w:szCs w:val="30"/>
        </w:rPr>
        <w:t xml:space="preserve">   日期</w:t>
      </w:r>
      <w:r>
        <w:rPr>
          <w:rFonts w:ascii="宋体" w:hAnsi="宋体" w:eastAsia="宋体"/>
          <w:szCs w:val="30"/>
        </w:rPr>
        <w:t>：</w:t>
      </w:r>
      <w:r>
        <w:rPr>
          <w:rFonts w:hint="eastAsia" w:ascii="宋体" w:hAnsi="宋体" w:eastAsia="宋体"/>
          <w:szCs w:val="30"/>
        </w:rPr>
        <w:t>【】年【】月【】日</w:t>
      </w:r>
    </w:p>
    <w:p w14:paraId="23BCACD1">
      <w:pPr>
        <w:snapToGrid w:val="0"/>
        <w:spacing w:line="360" w:lineRule="auto"/>
        <w:outlineLvl w:val="1"/>
        <w:rPr>
          <w:rFonts w:ascii="宋体" w:hAnsi="宋体" w:eastAsia="宋体" w:cs="宋体"/>
          <w:b/>
          <w:bCs/>
          <w:szCs w:val="21"/>
        </w:rPr>
      </w:pPr>
    </w:p>
    <w:p w14:paraId="7F40496D">
      <w:pPr>
        <w:pStyle w:val="3"/>
        <w:spacing w:line="360" w:lineRule="auto"/>
        <w:rPr>
          <w:rFonts w:ascii="宋体" w:hAnsi="宋体" w:eastAsia="宋体"/>
        </w:rPr>
      </w:pPr>
    </w:p>
    <w:p w14:paraId="1D612233">
      <w:pPr>
        <w:spacing w:line="360" w:lineRule="auto"/>
        <w:rPr>
          <w:rFonts w:ascii="宋体" w:hAnsi="宋体" w:eastAsia="宋体"/>
        </w:rPr>
      </w:pPr>
    </w:p>
    <w:p w14:paraId="08C7CE98">
      <w:pPr>
        <w:spacing w:line="360" w:lineRule="auto"/>
        <w:rPr>
          <w:rFonts w:ascii="宋体" w:hAnsi="宋体" w:eastAsia="宋体"/>
          <w:b/>
          <w:bCs/>
          <w:kern w:val="44"/>
          <w:sz w:val="44"/>
          <w:szCs w:val="44"/>
        </w:rPr>
      </w:pPr>
    </w:p>
    <w:p w14:paraId="72B48429">
      <w:pPr>
        <w:pStyle w:val="3"/>
        <w:rPr>
          <w:rFonts w:ascii="宋体" w:hAnsi="宋体" w:eastAsia="宋体"/>
        </w:rPr>
      </w:pPr>
    </w:p>
    <w:p w14:paraId="43BA41E6">
      <w:pPr>
        <w:pStyle w:val="3"/>
        <w:rPr>
          <w:rFonts w:ascii="宋体" w:hAnsi="宋体" w:eastAsia="宋体"/>
          <w:b/>
          <w:bCs/>
          <w:kern w:val="2"/>
          <w:sz w:val="21"/>
          <w:szCs w:val="22"/>
        </w:rPr>
      </w:pPr>
    </w:p>
    <w:p w14:paraId="1AEC9D78">
      <w:pPr>
        <w:rPr>
          <w:rFonts w:ascii="宋体" w:hAnsi="宋体" w:eastAsia="宋体"/>
        </w:rPr>
      </w:pPr>
    </w:p>
    <w:p w14:paraId="75A09FF0">
      <w:pPr>
        <w:pStyle w:val="68"/>
        <w:ind w:firstLine="0" w:firstLineChars="0"/>
        <w:outlineLvl w:val="2"/>
        <w:rPr>
          <w:rFonts w:ascii="宋体" w:hAnsi="宋体" w:eastAsia="宋体"/>
          <w:bCs/>
          <w:kern w:val="44"/>
          <w:sz w:val="44"/>
          <w:szCs w:val="44"/>
        </w:rPr>
      </w:pPr>
    </w:p>
    <w:p w14:paraId="6CBFC44B">
      <w:pPr>
        <w:pStyle w:val="68"/>
        <w:ind w:firstLine="0" w:firstLineChars="0"/>
        <w:outlineLvl w:val="2"/>
        <w:rPr>
          <w:rFonts w:ascii="宋体" w:hAnsi="宋体" w:eastAsia="宋体"/>
          <w:bCs/>
          <w:kern w:val="44"/>
          <w:sz w:val="44"/>
          <w:szCs w:val="44"/>
        </w:rPr>
      </w:pPr>
    </w:p>
    <w:p w14:paraId="0BE50B20">
      <w:pPr>
        <w:pStyle w:val="68"/>
        <w:ind w:firstLine="0" w:firstLineChars="0"/>
        <w:outlineLvl w:val="2"/>
        <w:rPr>
          <w:rFonts w:ascii="宋体" w:hAnsi="宋体" w:eastAsia="宋体"/>
          <w:bCs/>
          <w:kern w:val="44"/>
          <w:sz w:val="44"/>
          <w:szCs w:val="44"/>
        </w:rPr>
      </w:pPr>
    </w:p>
    <w:p w14:paraId="25486179">
      <w:pPr>
        <w:pStyle w:val="68"/>
        <w:ind w:firstLine="0" w:firstLineChars="0"/>
        <w:outlineLvl w:val="2"/>
        <w:rPr>
          <w:rFonts w:ascii="宋体" w:hAnsi="宋体" w:eastAsia="宋体" w:cs="宋体"/>
        </w:rPr>
      </w:pPr>
    </w:p>
    <w:p w14:paraId="0B9359A0">
      <w:pPr>
        <w:pStyle w:val="68"/>
        <w:ind w:firstLine="0" w:firstLineChars="0"/>
        <w:outlineLvl w:val="2"/>
        <w:rPr>
          <w:rFonts w:ascii="宋体" w:hAnsi="宋体" w:eastAsia="宋体" w:cs="宋体"/>
        </w:rPr>
      </w:pPr>
      <w:r>
        <w:rPr>
          <w:rFonts w:hint="eastAsia" w:ascii="宋体" w:hAnsi="宋体" w:eastAsia="宋体" w:cs="宋体"/>
        </w:rPr>
        <w:t>*附件</w:t>
      </w:r>
      <w:r>
        <w:rPr>
          <w:rFonts w:ascii="宋体" w:hAnsi="宋体" w:eastAsia="宋体" w:cs="宋体"/>
        </w:rPr>
        <w:t>9</w:t>
      </w:r>
      <w:r>
        <w:rPr>
          <w:rFonts w:hint="eastAsia" w:ascii="宋体" w:hAnsi="宋体" w:eastAsia="宋体" w:cs="宋体"/>
        </w:rPr>
        <w:t xml:space="preserve"> 合同模板</w:t>
      </w:r>
    </w:p>
    <w:p w14:paraId="3BDEC3E2">
      <w:pPr>
        <w:widowControl w:val="0"/>
        <w:spacing w:line="580" w:lineRule="exact"/>
        <w:jc w:val="center"/>
        <w:rPr>
          <w:rFonts w:ascii="宋体" w:hAnsi="宋体" w:eastAsia="宋体" w:cs="宋体"/>
          <w:sz w:val="36"/>
          <w:szCs w:val="36"/>
        </w:rPr>
      </w:pPr>
      <w:r>
        <w:rPr>
          <w:rFonts w:hint="eastAsia" w:ascii="宋体" w:hAnsi="宋体" w:eastAsia="宋体" w:cs="宋体"/>
          <w:sz w:val="36"/>
          <w:szCs w:val="36"/>
        </w:rPr>
        <w:t>物流服务合同</w:t>
      </w:r>
    </w:p>
    <w:tbl>
      <w:tblPr>
        <w:tblStyle w:val="36"/>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14:paraId="23F5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14:paraId="57E3BD64">
            <w:pPr>
              <w:widowControl w:val="0"/>
              <w:tabs>
                <w:tab w:val="left" w:pos="692"/>
              </w:tabs>
              <w:rPr>
                <w:rFonts w:ascii="宋体" w:hAnsi="宋体" w:eastAsia="宋体" w:cs="宋体"/>
                <w:sz w:val="18"/>
                <w:szCs w:val="18"/>
              </w:rPr>
            </w:pPr>
            <w:r>
              <w:rPr>
                <w:rFonts w:hint="eastAsia" w:ascii="宋体" w:hAnsi="宋体" w:eastAsia="宋体" w:cs="宋体"/>
                <w:sz w:val="18"/>
                <w:szCs w:val="18"/>
              </w:rPr>
              <w:t>甲方合同编号：</w:t>
            </w:r>
          </w:p>
        </w:tc>
        <w:tc>
          <w:tcPr>
            <w:tcW w:w="2306" w:type="dxa"/>
          </w:tcPr>
          <w:p w14:paraId="42ECFAA7">
            <w:pPr>
              <w:widowControl w:val="0"/>
              <w:rPr>
                <w:rFonts w:ascii="宋体" w:hAnsi="宋体" w:eastAsia="宋体" w:cs="宋体"/>
                <w:sz w:val="18"/>
                <w:szCs w:val="18"/>
              </w:rPr>
            </w:pPr>
            <w:r>
              <w:rPr>
                <w:rFonts w:hint="eastAsia" w:ascii="宋体" w:hAnsi="宋体" w:eastAsia="宋体" w:cs="宋体"/>
                <w:sz w:val="18"/>
                <w:szCs w:val="18"/>
              </w:rPr>
              <w:t>【】</w:t>
            </w:r>
          </w:p>
        </w:tc>
      </w:tr>
      <w:tr w14:paraId="156E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14:paraId="230BA325">
            <w:pPr>
              <w:widowControl w:val="0"/>
              <w:rPr>
                <w:rFonts w:ascii="宋体" w:hAnsi="宋体" w:eastAsia="宋体" w:cs="宋体"/>
                <w:sz w:val="18"/>
                <w:szCs w:val="18"/>
              </w:rPr>
            </w:pPr>
            <w:r>
              <w:rPr>
                <w:rFonts w:hint="eastAsia" w:ascii="宋体" w:hAnsi="宋体" w:eastAsia="宋体" w:cs="宋体"/>
                <w:sz w:val="18"/>
                <w:szCs w:val="18"/>
              </w:rPr>
              <w:t>乙方合同编号：</w:t>
            </w:r>
          </w:p>
        </w:tc>
        <w:tc>
          <w:tcPr>
            <w:tcW w:w="2306" w:type="dxa"/>
          </w:tcPr>
          <w:p w14:paraId="2215ADD7">
            <w:pPr>
              <w:widowControl w:val="0"/>
              <w:rPr>
                <w:rFonts w:ascii="宋体" w:hAnsi="宋体" w:eastAsia="宋体" w:cs="宋体"/>
                <w:sz w:val="18"/>
                <w:szCs w:val="18"/>
              </w:rPr>
            </w:pPr>
            <w:r>
              <w:rPr>
                <w:rFonts w:hint="eastAsia" w:ascii="宋体" w:hAnsi="宋体" w:eastAsia="宋体" w:cs="宋体"/>
                <w:sz w:val="18"/>
                <w:szCs w:val="18"/>
              </w:rPr>
              <w:t>【】</w:t>
            </w:r>
          </w:p>
        </w:tc>
      </w:tr>
      <w:tr w14:paraId="3844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14:paraId="046D4507">
            <w:pPr>
              <w:widowControl w:val="0"/>
              <w:rPr>
                <w:rFonts w:ascii="宋体" w:hAnsi="宋体" w:eastAsia="宋体" w:cs="宋体"/>
                <w:sz w:val="18"/>
                <w:szCs w:val="18"/>
              </w:rPr>
            </w:pPr>
            <w:r>
              <w:rPr>
                <w:rFonts w:hint="eastAsia" w:ascii="宋体" w:hAnsi="宋体" w:eastAsia="宋体" w:cs="宋体"/>
                <w:sz w:val="18"/>
                <w:szCs w:val="18"/>
              </w:rPr>
              <w:t>签订时间：</w:t>
            </w:r>
          </w:p>
        </w:tc>
        <w:tc>
          <w:tcPr>
            <w:tcW w:w="2306" w:type="dxa"/>
          </w:tcPr>
          <w:p w14:paraId="6A62BF13">
            <w:pPr>
              <w:widowControl w:val="0"/>
              <w:rPr>
                <w:rFonts w:ascii="宋体" w:hAnsi="宋体" w:eastAsia="宋体" w:cs="宋体"/>
                <w:sz w:val="18"/>
                <w:szCs w:val="18"/>
              </w:rPr>
            </w:pPr>
            <w:r>
              <w:rPr>
                <w:rFonts w:hint="eastAsia" w:ascii="宋体" w:hAnsi="宋体" w:eastAsia="宋体" w:cs="宋体"/>
                <w:sz w:val="18"/>
                <w:szCs w:val="18"/>
              </w:rPr>
              <w:t>【】年【】月【】日</w:t>
            </w:r>
          </w:p>
        </w:tc>
      </w:tr>
      <w:tr w14:paraId="4F05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14:paraId="2A54C043">
            <w:pPr>
              <w:widowControl w:val="0"/>
              <w:rPr>
                <w:rFonts w:ascii="宋体" w:hAnsi="宋体" w:eastAsia="宋体" w:cs="宋体"/>
                <w:sz w:val="18"/>
                <w:szCs w:val="18"/>
              </w:rPr>
            </w:pPr>
            <w:r>
              <w:rPr>
                <w:rFonts w:hint="eastAsia" w:ascii="宋体" w:hAnsi="宋体" w:eastAsia="宋体" w:cs="宋体"/>
                <w:sz w:val="18"/>
                <w:szCs w:val="18"/>
              </w:rPr>
              <w:t>签订地点：</w:t>
            </w:r>
          </w:p>
        </w:tc>
        <w:tc>
          <w:tcPr>
            <w:tcW w:w="2306" w:type="dxa"/>
          </w:tcPr>
          <w:p w14:paraId="395AC9A7">
            <w:pPr>
              <w:widowControl w:val="0"/>
              <w:rPr>
                <w:rFonts w:ascii="宋体" w:hAnsi="宋体" w:eastAsia="宋体" w:cs="宋体"/>
                <w:sz w:val="18"/>
                <w:szCs w:val="18"/>
              </w:rPr>
            </w:pPr>
            <w:r>
              <w:rPr>
                <w:rFonts w:hint="eastAsia" w:ascii="宋体" w:hAnsi="宋体" w:eastAsia="宋体" w:cs="宋体"/>
                <w:sz w:val="18"/>
                <w:szCs w:val="18"/>
              </w:rPr>
              <w:t>眉山市丹棱县</w:t>
            </w:r>
          </w:p>
        </w:tc>
      </w:tr>
    </w:tbl>
    <w:p w14:paraId="3FB74F49">
      <w:pPr>
        <w:widowControl w:val="0"/>
        <w:spacing w:line="580" w:lineRule="exact"/>
        <w:ind w:firstLine="480" w:firstLineChars="200"/>
        <w:rPr>
          <w:rFonts w:ascii="宋体" w:hAnsi="宋体" w:eastAsia="宋体" w:cs="宋体"/>
          <w:sz w:val="24"/>
          <w:szCs w:val="24"/>
        </w:rPr>
      </w:pPr>
    </w:p>
    <w:p w14:paraId="7B3BCE27">
      <w:pPr>
        <w:widowControl w:val="0"/>
        <w:spacing w:line="580" w:lineRule="exact"/>
        <w:ind w:firstLine="480" w:firstLineChars="200"/>
        <w:rPr>
          <w:rFonts w:ascii="宋体" w:hAnsi="宋体" w:eastAsia="宋体" w:cs="宋体"/>
          <w:sz w:val="24"/>
          <w:szCs w:val="24"/>
        </w:rPr>
      </w:pPr>
    </w:p>
    <w:p w14:paraId="301E384F">
      <w:pPr>
        <w:widowControl w:val="0"/>
        <w:spacing w:line="580" w:lineRule="exact"/>
        <w:ind w:firstLine="480" w:firstLineChars="200"/>
        <w:rPr>
          <w:rFonts w:ascii="宋体" w:hAnsi="宋体" w:eastAsia="宋体" w:cs="宋体"/>
          <w:sz w:val="24"/>
          <w:szCs w:val="24"/>
        </w:rPr>
      </w:pPr>
    </w:p>
    <w:tbl>
      <w:tblPr>
        <w:tblStyle w:val="36"/>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08C5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553E0822">
            <w:pPr>
              <w:widowControl w:val="0"/>
              <w:spacing w:line="360" w:lineRule="auto"/>
              <w:rPr>
                <w:rFonts w:ascii="宋体" w:hAnsi="宋体" w:eastAsia="宋体" w:cs="宋体"/>
                <w:sz w:val="24"/>
                <w:szCs w:val="24"/>
              </w:rPr>
            </w:pPr>
            <w:r>
              <w:rPr>
                <w:rFonts w:hint="eastAsia" w:ascii="宋体" w:hAnsi="宋体" w:eastAsia="宋体" w:cs="宋体"/>
                <w:sz w:val="24"/>
                <w:szCs w:val="24"/>
              </w:rPr>
              <w:t>甲方（委托方）：眉山琏升光伏科技有限公司</w:t>
            </w:r>
          </w:p>
        </w:tc>
        <w:tc>
          <w:tcPr>
            <w:tcW w:w="4740" w:type="dxa"/>
          </w:tcPr>
          <w:p w14:paraId="6BB52555">
            <w:pPr>
              <w:widowControl w:val="0"/>
              <w:spacing w:line="360" w:lineRule="auto"/>
              <w:rPr>
                <w:rFonts w:ascii="宋体" w:hAnsi="宋体" w:eastAsia="宋体" w:cs="宋体"/>
                <w:sz w:val="24"/>
                <w:szCs w:val="24"/>
              </w:rPr>
            </w:pPr>
            <w:r>
              <w:rPr>
                <w:rFonts w:hint="eastAsia" w:ascii="宋体" w:hAnsi="宋体" w:eastAsia="宋体" w:cs="宋体"/>
                <w:sz w:val="24"/>
                <w:szCs w:val="24"/>
              </w:rPr>
              <w:t>乙方（受托方）：【】</w:t>
            </w:r>
          </w:p>
        </w:tc>
      </w:tr>
      <w:tr w14:paraId="595D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20B0D920">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蒋万昌</w:t>
            </w:r>
          </w:p>
        </w:tc>
        <w:tc>
          <w:tcPr>
            <w:tcW w:w="4740" w:type="dxa"/>
          </w:tcPr>
          <w:p w14:paraId="5ED29C26">
            <w:pPr>
              <w:widowControl w:val="0"/>
              <w:spacing w:line="360" w:lineRule="auto"/>
              <w:rPr>
                <w:rFonts w:ascii="宋体" w:hAnsi="宋体" w:eastAsia="宋体" w:cs="宋体"/>
                <w:sz w:val="24"/>
                <w:szCs w:val="24"/>
              </w:rPr>
            </w:pPr>
            <w:r>
              <w:rPr>
                <w:rFonts w:hint="eastAsia" w:ascii="宋体" w:hAnsi="宋体" w:eastAsia="宋体" w:cs="宋体"/>
                <w:sz w:val="24"/>
                <w:szCs w:val="24"/>
              </w:rPr>
              <w:t>法定代表人：【】</w:t>
            </w:r>
          </w:p>
        </w:tc>
      </w:tr>
      <w:tr w14:paraId="2C13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2E095D59">
            <w:pPr>
              <w:widowControl w:val="0"/>
              <w:spacing w:line="360" w:lineRule="auto"/>
              <w:rPr>
                <w:rFonts w:ascii="宋体" w:hAnsi="宋体" w:eastAsia="宋体" w:cs="宋体"/>
                <w:sz w:val="24"/>
                <w:szCs w:val="24"/>
              </w:rPr>
            </w:pPr>
            <w:r>
              <w:rPr>
                <w:rFonts w:hint="eastAsia" w:ascii="宋体" w:hAnsi="宋体" w:eastAsia="宋体" w:cs="宋体"/>
                <w:sz w:val="24"/>
                <w:szCs w:val="24"/>
              </w:rPr>
              <w:t>地址：【】</w:t>
            </w:r>
          </w:p>
        </w:tc>
        <w:tc>
          <w:tcPr>
            <w:tcW w:w="4740" w:type="dxa"/>
          </w:tcPr>
          <w:p w14:paraId="06CAAB32">
            <w:pPr>
              <w:widowControl w:val="0"/>
              <w:spacing w:line="360" w:lineRule="auto"/>
              <w:rPr>
                <w:rFonts w:ascii="宋体" w:hAnsi="宋体" w:eastAsia="宋体" w:cs="宋体"/>
                <w:sz w:val="24"/>
                <w:szCs w:val="24"/>
              </w:rPr>
            </w:pPr>
            <w:r>
              <w:rPr>
                <w:rFonts w:hint="eastAsia" w:ascii="宋体" w:hAnsi="宋体" w:eastAsia="宋体" w:cs="宋体"/>
                <w:sz w:val="24"/>
                <w:szCs w:val="24"/>
              </w:rPr>
              <w:t>地址：【】</w:t>
            </w:r>
          </w:p>
        </w:tc>
      </w:tr>
      <w:tr w14:paraId="0967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3DD701E4">
            <w:pPr>
              <w:widowControl w:val="0"/>
              <w:spacing w:line="360" w:lineRule="auto"/>
              <w:rPr>
                <w:rFonts w:ascii="宋体" w:hAnsi="宋体" w:eastAsia="宋体" w:cs="宋体"/>
                <w:sz w:val="24"/>
                <w:szCs w:val="24"/>
              </w:rPr>
            </w:pPr>
            <w:r>
              <w:rPr>
                <w:rFonts w:hint="eastAsia" w:ascii="宋体" w:hAnsi="宋体" w:eastAsia="宋体" w:cs="宋体"/>
                <w:sz w:val="24"/>
                <w:szCs w:val="24"/>
              </w:rPr>
              <w:t>联系电话：【】</w:t>
            </w:r>
          </w:p>
        </w:tc>
        <w:tc>
          <w:tcPr>
            <w:tcW w:w="4740" w:type="dxa"/>
          </w:tcPr>
          <w:p w14:paraId="0E630AF9">
            <w:pPr>
              <w:widowControl w:val="0"/>
              <w:spacing w:line="360" w:lineRule="auto"/>
              <w:rPr>
                <w:rFonts w:ascii="宋体" w:hAnsi="宋体" w:eastAsia="宋体" w:cs="宋体"/>
                <w:sz w:val="24"/>
                <w:szCs w:val="24"/>
              </w:rPr>
            </w:pPr>
            <w:r>
              <w:rPr>
                <w:rFonts w:hint="eastAsia" w:ascii="宋体" w:hAnsi="宋体" w:eastAsia="宋体" w:cs="宋体"/>
                <w:sz w:val="24"/>
                <w:szCs w:val="24"/>
              </w:rPr>
              <w:t>联系电话：【】</w:t>
            </w:r>
          </w:p>
        </w:tc>
      </w:tr>
      <w:tr w14:paraId="4588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17D4B426">
            <w:pPr>
              <w:widowControl w:val="0"/>
              <w:spacing w:line="360" w:lineRule="auto"/>
              <w:rPr>
                <w:rFonts w:ascii="宋体" w:hAnsi="宋体" w:eastAsia="宋体" w:cs="宋体"/>
                <w:sz w:val="24"/>
                <w:szCs w:val="24"/>
              </w:rPr>
            </w:pPr>
            <w:r>
              <w:rPr>
                <w:rFonts w:hint="eastAsia" w:ascii="宋体" w:hAnsi="宋体" w:eastAsia="宋体" w:cs="宋体"/>
                <w:sz w:val="24"/>
                <w:szCs w:val="24"/>
              </w:rPr>
              <w:t>电子邮件：【】</w:t>
            </w:r>
          </w:p>
        </w:tc>
        <w:tc>
          <w:tcPr>
            <w:tcW w:w="4740" w:type="dxa"/>
          </w:tcPr>
          <w:p w14:paraId="00EBA4D5">
            <w:pPr>
              <w:widowControl w:val="0"/>
              <w:spacing w:line="360" w:lineRule="auto"/>
              <w:rPr>
                <w:rFonts w:ascii="宋体" w:hAnsi="宋体" w:eastAsia="宋体" w:cs="宋体"/>
                <w:sz w:val="24"/>
                <w:szCs w:val="24"/>
              </w:rPr>
            </w:pPr>
            <w:r>
              <w:rPr>
                <w:rFonts w:hint="eastAsia" w:ascii="宋体" w:hAnsi="宋体" w:eastAsia="宋体" w:cs="宋体"/>
                <w:sz w:val="24"/>
                <w:szCs w:val="24"/>
              </w:rPr>
              <w:t>电子邮件：【】</w:t>
            </w:r>
          </w:p>
        </w:tc>
      </w:tr>
    </w:tbl>
    <w:p w14:paraId="5321A35B">
      <w:pPr>
        <w:widowControl w:val="0"/>
        <w:spacing w:line="320" w:lineRule="exact"/>
        <w:rPr>
          <w:rFonts w:ascii="宋体" w:hAnsi="宋体" w:eastAsia="宋体" w:cs="宋体"/>
          <w:sz w:val="24"/>
          <w:szCs w:val="24"/>
        </w:rPr>
      </w:pPr>
    </w:p>
    <w:p w14:paraId="7B573775">
      <w:pPr>
        <w:widowControl w:val="0"/>
        <w:spacing w:before="156" w:beforeLines="5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甲乙双方本着平等互利原则，依据《中华人民共和国民法典》及有关法律法规，就甲方委托乙方为甲方提供国内、国际物流运输服务及货物进出口物流代理服务有关事宜，经过充分友好协商，达成本合同，以供双方共同遵守：</w:t>
      </w:r>
    </w:p>
    <w:p w14:paraId="2964AA00">
      <w:pPr>
        <w:widowControl w:val="0"/>
        <w:numPr>
          <w:ilvl w:val="0"/>
          <w:numId w:val="16"/>
        </w:numPr>
        <w:spacing w:before="156" w:beforeLines="50" w:line="360" w:lineRule="auto"/>
        <w:ind w:firstLine="482" w:firstLineChars="200"/>
        <w:jc w:val="both"/>
        <w:rPr>
          <w:rFonts w:ascii="宋体" w:hAnsi="宋体" w:eastAsia="宋体" w:cs="宋体"/>
          <w:b/>
          <w:bCs/>
          <w:kern w:val="2"/>
          <w:sz w:val="24"/>
          <w:szCs w:val="24"/>
        </w:rPr>
      </w:pPr>
      <w:r>
        <w:rPr>
          <w:rFonts w:hint="eastAsia" w:ascii="宋体" w:hAnsi="宋体" w:eastAsia="宋体" w:cs="宋体"/>
          <w:b/>
          <w:bCs/>
          <w:kern w:val="2"/>
          <w:sz w:val="24"/>
          <w:szCs w:val="24"/>
        </w:rPr>
        <w:t>定义</w:t>
      </w:r>
    </w:p>
    <w:p w14:paraId="35AED09C">
      <w:pPr>
        <w:widowControl w:val="0"/>
        <w:spacing w:before="156" w:beforeLines="5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1.货物：双方在本合同下约定的或经甲方书面确认的，甲方交由乙方执行物流作业的对象。</w:t>
      </w:r>
    </w:p>
    <w:p w14:paraId="6433D6B3">
      <w:pPr>
        <w:widowControl w:val="0"/>
        <w:spacing w:before="156" w:beforeLines="5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2.运输指令：甲方向乙方发出的载有包括但不限于托运货物信息、起运地点、交货地点、收货人、运输时间要求等信息的运输指令。</w:t>
      </w:r>
    </w:p>
    <w:p w14:paraId="356A1B88">
      <w:pPr>
        <w:widowControl w:val="0"/>
        <w:spacing w:before="156" w:beforeLines="5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3.收货人：甲方指定的在目的地接收货物的单位或个人。</w:t>
      </w:r>
    </w:p>
    <w:p w14:paraId="39CBDAD5">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货物名称、规格、数量、重量</w:t>
      </w:r>
    </w:p>
    <w:p w14:paraId="759AB388">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以甲方书面确认的运单信息或运输指令所载内容为准。</w:t>
      </w:r>
    </w:p>
    <w:p w14:paraId="6083B9FE">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服务范围</w:t>
      </w:r>
    </w:p>
    <w:p w14:paraId="2D7AE59B">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经双方协商一致，乙方向甲方提供门到门、港到门、港到港、空海运、江运及多式联运货物运输服务，并负责包括但不限于订舱、配载、报关、报检、报验、装箱、转运、保险、送货上门、上门提货、装卸、搬运、文件（含单据）交接及审核、取得相关货物单证、货物信息及时反馈等相关事宜。</w:t>
      </w:r>
    </w:p>
    <w:p w14:paraId="053D07E6">
      <w:pPr>
        <w:widowControl w:val="0"/>
        <w:spacing w:line="360" w:lineRule="auto"/>
        <w:ind w:firstLine="480" w:firstLineChars="200"/>
      </w:pPr>
      <w:r>
        <w:rPr>
          <w:rFonts w:hint="eastAsia" w:ascii="宋体" w:hAnsi="宋体" w:eastAsia="宋体" w:cs="宋体"/>
          <w:sz w:val="24"/>
          <w:szCs w:val="24"/>
        </w:rPr>
        <w:t>2.乙方应在收到甲方运输指令后【】小时内到达甲方指定装货地址，装货前4小时内，乙方必须将运输车辆信息（车型、车牌、联系电话）通知到甲方。行车途中，乙方每天至少两次不定时更新车辆位置定位。乙方需对由其承运甲方的每单货的运输情况做全程的跟踪，并及时提供运输跟踪滚动情况的反馈；该反馈需按甲方要求，包括但不限于：合同号\发票号、预计发货日、预计到货日、实际发货日、实际到货日、总单、分单、第一程航班、第二程航班等。</w:t>
      </w:r>
    </w:p>
    <w:p w14:paraId="132A04E9">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合同期限</w:t>
      </w:r>
    </w:p>
    <w:p w14:paraId="6528105B">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本合同期限自合同签订生效之日起【】个月。</w:t>
      </w:r>
    </w:p>
    <w:p w14:paraId="74B7E13B">
      <w:pPr>
        <w:widowControl w:val="0"/>
        <w:numPr>
          <w:ilvl w:val="0"/>
          <w:numId w:val="17"/>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服务要求</w:t>
      </w:r>
    </w:p>
    <w:p w14:paraId="67A92658">
      <w:pPr>
        <w:widowControl w:val="0"/>
        <w:numPr>
          <w:ilvl w:val="0"/>
          <w:numId w:val="18"/>
        </w:numPr>
        <w:spacing w:line="360" w:lineRule="auto"/>
        <w:ind w:left="-60" w:firstLine="480"/>
        <w:rPr>
          <w:rFonts w:ascii="宋体" w:hAnsi="宋体" w:eastAsia="宋体" w:cs="宋体"/>
          <w:sz w:val="24"/>
          <w:szCs w:val="24"/>
        </w:rPr>
      </w:pPr>
      <w:r>
        <w:rPr>
          <w:rFonts w:hint="eastAsia" w:ascii="宋体" w:hAnsi="宋体" w:eastAsia="宋体" w:cs="宋体"/>
          <w:sz w:val="24"/>
          <w:szCs w:val="24"/>
        </w:rPr>
        <w:t>乙方应当按照商品的性质运输或发运货物，运输条件应符合货物外包装上所注明的要求和货物本身的性质，小心轻放，防雨、防潮，勿压、勿靠近火源和高温物体，妥善保管货物，确保商品安全。</w:t>
      </w:r>
    </w:p>
    <w:p w14:paraId="17377728">
      <w:pPr>
        <w:widowControl w:val="0"/>
        <w:numPr>
          <w:ilvl w:val="0"/>
          <w:numId w:val="18"/>
        </w:numPr>
        <w:spacing w:line="360" w:lineRule="auto"/>
        <w:ind w:left="-60" w:firstLine="480"/>
        <w:rPr>
          <w:rFonts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乙方在收到甲方的整套报关资料后，普通单据需要求在3天内完成清关、提货；加急特殊单据要求在2天内完成清关、提货。清关</w:t>
      </w:r>
      <w:r>
        <w:rPr>
          <w:rFonts w:hint="eastAsia" w:ascii="宋体" w:hAnsi="宋体" w:eastAsia="宋体" w:cs="宋体"/>
          <w:sz w:val="24"/>
          <w:szCs w:val="24"/>
        </w:rPr>
        <w:t>过程中有任何异常都必须在异常发生后【】小时内真实、全面地反馈至甲方，因乙方原因导致的清关异常乙方应在甲方要求时限内对异常事项进行处理。因海关或其他行政机关原因导致清关、提货延迟的乙方不承担违约责任，但因积极配合甲方处理。</w:t>
      </w:r>
    </w:p>
    <w:p w14:paraId="17E3797A">
      <w:pPr>
        <w:widowControl w:val="0"/>
        <w:numPr>
          <w:ilvl w:val="0"/>
          <w:numId w:val="18"/>
        </w:numPr>
        <w:spacing w:line="360" w:lineRule="auto"/>
        <w:ind w:left="-60" w:firstLine="480"/>
        <w:rPr>
          <w:rFonts w:ascii="宋体" w:hAnsi="宋体" w:eastAsia="宋体" w:cs="宋体"/>
          <w:sz w:val="24"/>
          <w:szCs w:val="24"/>
        </w:rPr>
      </w:pPr>
      <w:r>
        <w:rPr>
          <w:rFonts w:hint="eastAsia" w:ascii="宋体" w:hAnsi="宋体" w:eastAsia="宋体" w:cs="宋体"/>
          <w:sz w:val="24"/>
          <w:szCs w:val="24"/>
        </w:rPr>
        <w:t>乙方确保运输设备、人员等符合甲方货物的运输要求，保证货物运输的安全性和稳定性，运输设备应当配备有GPS定位及行车记录导航等设备，并确保运输期间正常运行。</w:t>
      </w:r>
    </w:p>
    <w:p w14:paraId="5A9416C8">
      <w:pPr>
        <w:widowControl w:val="0"/>
        <w:numPr>
          <w:ilvl w:val="0"/>
          <w:numId w:val="18"/>
        </w:numPr>
        <w:spacing w:line="360" w:lineRule="auto"/>
        <w:ind w:left="-60" w:firstLine="480"/>
      </w:pPr>
      <w:r>
        <w:rPr>
          <w:rFonts w:hint="eastAsia" w:ascii="宋体" w:hAnsi="宋体" w:eastAsia="宋体" w:cs="宋体"/>
          <w:sz w:val="24"/>
          <w:szCs w:val="24"/>
        </w:rPr>
        <w:t>乙方不得擅自变更运输方式或路线，乙方应按照甲方发出的电邮、传真等书面指示或运输指令提供物流服务。</w:t>
      </w:r>
    </w:p>
    <w:p w14:paraId="69E87643">
      <w:pPr>
        <w:widowControl w:val="0"/>
        <w:numPr>
          <w:ilvl w:val="0"/>
          <w:numId w:val="18"/>
        </w:numPr>
        <w:spacing w:line="360" w:lineRule="auto"/>
        <w:ind w:left="-60" w:firstLine="480"/>
      </w:pPr>
      <w:r>
        <w:rPr>
          <w:rFonts w:hint="eastAsia" w:ascii="宋体" w:hAnsi="宋体" w:eastAsia="宋体" w:cs="宋体"/>
          <w:sz w:val="24"/>
          <w:szCs w:val="24"/>
        </w:rPr>
        <w:t>乙方应确保甲方货物安全、准确、及时运抵指定地点，并交付指定收货人。</w:t>
      </w:r>
    </w:p>
    <w:p w14:paraId="1878C283">
      <w:pPr>
        <w:widowControl w:val="0"/>
        <w:numPr>
          <w:ilvl w:val="0"/>
          <w:numId w:val="17"/>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货物交接</w:t>
      </w:r>
    </w:p>
    <w:p w14:paraId="5EA3ED0C">
      <w:pPr>
        <w:widowControl w:val="0"/>
        <w:numPr>
          <w:ilvl w:val="0"/>
          <w:numId w:val="1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在甲方或甲方指定的交货人处接收货物时，若发现货物外包装差异及/或外包装异样，乙方应立即告知甲方并征得甲方同意，双方应在交接文件上注明，乙方未在接收货物当下反馈包装问题的视为货物包装无异常。</w:t>
      </w:r>
    </w:p>
    <w:p w14:paraId="6EC4AB99">
      <w:pPr>
        <w:widowControl w:val="0"/>
        <w:numPr>
          <w:ilvl w:val="0"/>
          <w:numId w:val="1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货到甲方指定地点后，乙方应与甲方或甲方指定的收货人联合办理货物交接手续，甲方未指定收货人或指定收货人无法联络的，应及时告知甲方并由甲方重新指定。乙方擅自将货物交付给其他第三方签收的视为乙方未履行交付义务。</w:t>
      </w:r>
    </w:p>
    <w:p w14:paraId="0A48259D">
      <w:pPr>
        <w:widowControl w:val="0"/>
        <w:numPr>
          <w:ilvl w:val="0"/>
          <w:numId w:val="1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乙方向甲方或甲方指定的收货人交货时货物外包装有残损、湿损等异常现象或相关安全运输标识变化的，双方应在交接文件上注明实际情况并确认，并由双方立即或另行约定时间共同到场拆箱检验并对拆箱及检验情况进行书面确认。因实际情况要求拆箱和检验不能同时进行的，乙方应按甲方或甲方指定的收货人要求分别到场并确认。因实际情况需要临时挪移的，乙方应到场并确认。</w:t>
      </w:r>
    </w:p>
    <w:p w14:paraId="71771168">
      <w:pPr>
        <w:widowControl w:val="0"/>
        <w:numPr>
          <w:ilvl w:val="0"/>
          <w:numId w:val="1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乙方有责任对货物外包装进行外观检查。 如乙方发现所收货物或到港、到场货物有短缺、损坏、湿损、变质、污染、包装破损等现象，乙方有责任按以下方式进行处理：</w:t>
      </w:r>
    </w:p>
    <w:p w14:paraId="0A9F9F0D">
      <w:pPr>
        <w:widowControl w:val="0"/>
        <w:numPr>
          <w:ilvl w:val="0"/>
          <w:numId w:val="20"/>
        </w:numPr>
        <w:spacing w:line="360" w:lineRule="auto"/>
        <w:ind w:left="420"/>
        <w:rPr>
          <w:rFonts w:ascii="宋体" w:hAnsi="宋体" w:eastAsia="宋体" w:cs="宋体"/>
          <w:sz w:val="24"/>
          <w:szCs w:val="24"/>
        </w:rPr>
      </w:pPr>
      <w:r>
        <w:rPr>
          <w:rFonts w:hint="eastAsia" w:ascii="宋体" w:hAnsi="宋体" w:eastAsia="宋体" w:cs="宋体"/>
          <w:sz w:val="24"/>
          <w:szCs w:val="24"/>
        </w:rPr>
        <w:t>应在立即以电话、传真等即时工具通知甲方的同时，以书面形式通知甲方；</w:t>
      </w:r>
    </w:p>
    <w:p w14:paraId="215A6E2C">
      <w:pPr>
        <w:widowControl w:val="0"/>
        <w:numPr>
          <w:ilvl w:val="0"/>
          <w:numId w:val="20"/>
        </w:numPr>
        <w:spacing w:line="360" w:lineRule="auto"/>
        <w:ind w:left="420"/>
        <w:rPr>
          <w:rFonts w:ascii="宋体" w:hAnsi="宋体" w:eastAsia="宋体" w:cs="宋体"/>
          <w:sz w:val="24"/>
          <w:szCs w:val="24"/>
        </w:rPr>
      </w:pPr>
      <w:r>
        <w:rPr>
          <w:rFonts w:hint="eastAsia" w:ascii="宋体" w:hAnsi="宋体" w:eastAsia="宋体" w:cs="宋体"/>
          <w:sz w:val="24"/>
          <w:szCs w:val="24"/>
        </w:rPr>
        <w:t>乙方对有短缺、损坏、湿损、变质、污染、包装破损的货物在发现后立即进行拍照、取样、封存，做好现场记录，并在2天内对详细情况做出书面报告递交甲方并向甲方提交一切单证和证明材料。</w:t>
      </w:r>
    </w:p>
    <w:p w14:paraId="4979FAE1">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乙方为甲方所提供服务的货物为太阳能电池片、太阳能硅片、配件、原材料等，托运货物均为易碎、易氧化物品。乙方在装卸、行驶、转运过程中应注意轻移轻放、保持低速、匀速、并与其他货物保持安全距离、妥善保管等，使货物安全及时抵达目的地。</w:t>
      </w:r>
    </w:p>
    <w:p w14:paraId="000FF42F">
      <w:pPr>
        <w:widowControl w:val="0"/>
        <w:numPr>
          <w:ilvl w:val="0"/>
          <w:numId w:val="17"/>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装货及卸货</w:t>
      </w:r>
    </w:p>
    <w:p w14:paraId="3E74A021">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乙方提供货物装卸服务，装卸要求为：【详见技术协议】。</w:t>
      </w:r>
    </w:p>
    <w:p w14:paraId="1CA7AB8E">
      <w:pPr>
        <w:widowControl w:val="0"/>
        <w:numPr>
          <w:ilvl w:val="0"/>
          <w:numId w:val="17"/>
        </w:numPr>
        <w:spacing w:line="360" w:lineRule="auto"/>
        <w:ind w:firstLine="482" w:firstLineChars="200"/>
        <w:rPr>
          <w:rFonts w:ascii="宋体" w:hAnsi="宋体" w:eastAsia="宋体" w:cs="宋体"/>
          <w:b/>
          <w:bCs/>
          <w:kern w:val="2"/>
          <w:sz w:val="24"/>
          <w:szCs w:val="24"/>
        </w:rPr>
      </w:pPr>
      <w:r>
        <w:rPr>
          <w:rFonts w:hint="eastAsia" w:ascii="宋体" w:hAnsi="宋体" w:eastAsia="宋体" w:cs="宋体"/>
          <w:b/>
          <w:bCs/>
          <w:sz w:val="24"/>
          <w:szCs w:val="24"/>
        </w:rPr>
        <w:t>运输工具要求</w:t>
      </w:r>
    </w:p>
    <w:p w14:paraId="7D1402D3">
      <w:pPr>
        <w:widowControl w:val="0"/>
        <w:numPr>
          <w:ilvl w:val="0"/>
          <w:numId w:val="21"/>
        </w:numPr>
        <w:spacing w:line="360" w:lineRule="auto"/>
        <w:ind w:left="440" w:leftChars="200"/>
        <w:rPr>
          <w:rFonts w:ascii="宋体" w:hAnsi="宋体" w:eastAsia="宋体" w:cs="宋体"/>
          <w:kern w:val="2"/>
          <w:sz w:val="24"/>
          <w:szCs w:val="24"/>
        </w:rPr>
      </w:pPr>
      <w:r>
        <w:rPr>
          <w:rFonts w:hint="eastAsia" w:ascii="宋体" w:hAnsi="宋体" w:eastAsia="宋体" w:cs="宋体"/>
          <w:kern w:val="2"/>
          <w:sz w:val="24"/>
          <w:szCs w:val="24"/>
        </w:rPr>
        <w:t>乙方负责承运的车辆需符合防雨、防潮、防火等安全要求。厢车、板车、高栏车均可，但应提前告知甲方并经甲方却仍，且必须有防雨措施。</w:t>
      </w:r>
    </w:p>
    <w:p w14:paraId="2AC7EBD0">
      <w:pPr>
        <w:widowControl w:val="0"/>
        <w:numPr>
          <w:ilvl w:val="0"/>
          <w:numId w:val="21"/>
        </w:numPr>
        <w:spacing w:line="360" w:lineRule="auto"/>
        <w:ind w:left="440" w:leftChars="200"/>
        <w:rPr>
          <w:rFonts w:ascii="宋体" w:hAnsi="宋体" w:eastAsia="宋体" w:cs="宋体"/>
          <w:kern w:val="2"/>
          <w:sz w:val="24"/>
          <w:szCs w:val="24"/>
        </w:rPr>
      </w:pPr>
      <w:r>
        <w:rPr>
          <w:rFonts w:hint="eastAsia" w:ascii="宋体" w:hAnsi="宋体" w:eastAsia="宋体" w:cs="宋体"/>
          <w:kern w:val="2"/>
          <w:sz w:val="24"/>
          <w:szCs w:val="24"/>
        </w:rPr>
        <w:t>乙方承运车辆需证照齐全，按要求办理了相关车辆年检、保险等手续。</w:t>
      </w:r>
    </w:p>
    <w:p w14:paraId="40EA851A">
      <w:pPr>
        <w:widowControl w:val="0"/>
        <w:numPr>
          <w:ilvl w:val="0"/>
          <w:numId w:val="21"/>
        </w:numPr>
        <w:spacing w:line="360" w:lineRule="auto"/>
        <w:ind w:left="440" w:leftChars="200"/>
        <w:rPr>
          <w:rFonts w:ascii="宋体" w:hAnsi="宋体" w:eastAsia="宋体" w:cs="宋体"/>
          <w:kern w:val="2"/>
          <w:sz w:val="24"/>
          <w:szCs w:val="24"/>
        </w:rPr>
      </w:pPr>
      <w:r>
        <w:rPr>
          <w:rFonts w:hint="eastAsia" w:ascii="宋体" w:hAnsi="宋体" w:eastAsia="宋体" w:cs="宋体"/>
          <w:kern w:val="2"/>
          <w:sz w:val="24"/>
          <w:szCs w:val="24"/>
        </w:rPr>
        <w:t>乙方承运车辆底板需平坦，高低落差小于1.5CM，且不允许底板有直径大于5CM的孔洞。</w:t>
      </w:r>
    </w:p>
    <w:p w14:paraId="308387D7">
      <w:pPr>
        <w:widowControl w:val="0"/>
        <w:numPr>
          <w:ilvl w:val="0"/>
          <w:numId w:val="21"/>
        </w:numPr>
        <w:spacing w:line="360" w:lineRule="auto"/>
        <w:ind w:left="440" w:leftChars="200"/>
        <w:rPr>
          <w:rFonts w:ascii="宋体" w:hAnsi="宋体" w:eastAsia="宋体" w:cs="宋体"/>
          <w:kern w:val="2"/>
          <w:sz w:val="24"/>
          <w:szCs w:val="24"/>
        </w:rPr>
      </w:pPr>
      <w:r>
        <w:rPr>
          <w:rFonts w:hint="eastAsia" w:ascii="宋体" w:hAnsi="宋体" w:eastAsia="宋体" w:cs="宋体"/>
          <w:kern w:val="2"/>
          <w:sz w:val="24"/>
          <w:szCs w:val="24"/>
        </w:rPr>
        <w:t>乙方承运车辆车龄应在5年以内，应具备良好的运输能力。</w:t>
      </w:r>
    </w:p>
    <w:p w14:paraId="29398507">
      <w:pPr>
        <w:widowControl w:val="0"/>
        <w:numPr>
          <w:ilvl w:val="0"/>
          <w:numId w:val="21"/>
        </w:numPr>
        <w:spacing w:line="360" w:lineRule="auto"/>
        <w:ind w:left="440" w:leftChars="200"/>
        <w:rPr>
          <w:rFonts w:ascii="宋体" w:hAnsi="宋体" w:eastAsia="宋体" w:cs="宋体"/>
          <w:kern w:val="2"/>
          <w:sz w:val="24"/>
          <w:szCs w:val="24"/>
        </w:rPr>
      </w:pPr>
      <w:r>
        <w:rPr>
          <w:rFonts w:hint="eastAsia" w:ascii="宋体" w:hAnsi="宋体" w:eastAsia="宋体" w:cs="宋体"/>
          <w:kern w:val="2"/>
          <w:sz w:val="24"/>
          <w:szCs w:val="24"/>
        </w:rPr>
        <w:t>乙方承运甲方的所有货物必须是专车运输，不允许在运输过程中拼载其他货物。</w:t>
      </w:r>
    </w:p>
    <w:p w14:paraId="0890419D">
      <w:pPr>
        <w:widowControl w:val="0"/>
        <w:numPr>
          <w:ilvl w:val="0"/>
          <w:numId w:val="17"/>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保险</w:t>
      </w:r>
    </w:p>
    <w:p w14:paraId="1E510FDD">
      <w:pPr>
        <w:widowControl w:val="0"/>
        <w:numPr>
          <w:ilvl w:val="0"/>
          <w:numId w:val="2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合同履行期间，全额车辆保险等运输相关保险、运输人员人身安全等保险、责任险等由乙方负责购买，乙方应在本合同签订生效后【】日内向甲方提供相关保险证明。</w:t>
      </w:r>
    </w:p>
    <w:p w14:paraId="588C4CF5">
      <w:pPr>
        <w:widowControl w:val="0"/>
        <w:numPr>
          <w:ilvl w:val="0"/>
          <w:numId w:val="2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货物运输保险由甲方负责购买，乙方在提供物流服务过程中如发生货物的损坏、灭失、短少、变质、污染等，乙方应立即通知甲方，同时乙方应当配合甲方进行保险报案、现场勘察、理赔文件提供、协助索赔等工作。</w:t>
      </w:r>
    </w:p>
    <w:p w14:paraId="30A7BE66">
      <w:pPr>
        <w:widowControl w:val="0"/>
        <w:numPr>
          <w:ilvl w:val="0"/>
          <w:numId w:val="2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若乙方未购买相关保险或购买保险种类、保额不符合甲方要求，发生意外事故或给甲方造成损失的，由乙方承担100%的赔偿责任。如为第三方责任的，乙方应当先行赔付，甲方可协助乙方进行追偿。</w:t>
      </w:r>
    </w:p>
    <w:p w14:paraId="44FEA81B">
      <w:pPr>
        <w:widowControl w:val="0"/>
        <w:numPr>
          <w:ilvl w:val="0"/>
          <w:numId w:val="17"/>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风险转移</w:t>
      </w:r>
    </w:p>
    <w:p w14:paraId="0389ABE7">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货物运输全过程中产生的风险由乙方承担，乙方对运输过程中货物的毁损、丢失、被盗、被抢、灭失承担全部赔偿责任。</w:t>
      </w:r>
    </w:p>
    <w:p w14:paraId="5C287385">
      <w:pPr>
        <w:widowControl w:val="0"/>
        <w:numPr>
          <w:ilvl w:val="0"/>
          <w:numId w:val="17"/>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履约保证</w:t>
      </w:r>
    </w:p>
    <w:p w14:paraId="0E7EC2FF">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1.为保证合同正常履约，乙方应提供必要的保障措施，保障措施可采用履约保证金或见索即付的银行履约保函的方式。</w:t>
      </w:r>
    </w:p>
    <w:p w14:paraId="5DC84C81">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2.履约保证金额为【</w:t>
      </w:r>
      <w:r>
        <w:rPr>
          <w:rFonts w:hint="eastAsia" w:ascii="宋体" w:hAnsi="宋体" w:eastAsia="宋体" w:cs="宋体"/>
          <w:sz w:val="24"/>
          <w:szCs w:val="24"/>
          <w:lang w:val="en-US" w:eastAsia="zh-CN"/>
        </w:rPr>
        <w:t>30</w:t>
      </w:r>
      <w:r>
        <w:rPr>
          <w:rFonts w:hint="eastAsia" w:ascii="宋体" w:hAnsi="宋体" w:eastAsia="宋体" w:cs="宋体"/>
          <w:sz w:val="24"/>
          <w:szCs w:val="24"/>
        </w:rPr>
        <w:t>】万元，其中投标保证金可直接转为履约保证金，差额部分可采用电汇、银行承兑汇票或履约保函方式提供，须在本合同签订生效后【】日内提供。</w:t>
      </w:r>
    </w:p>
    <w:p w14:paraId="72B5216F">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如是见索即付的银行保函需要为中国五大国有商业银行及中国大型股份制商业银行开具的保函，且保函开具前需要经甲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14:paraId="5C17E34A">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4.履约保证金/履约保函退还时间为合同期限届满后10个日历天内退还。若合同有效期内履约保证金被扣除的，乙方应当在扣除后5日内补足。</w:t>
      </w:r>
    </w:p>
    <w:p w14:paraId="11101674">
      <w:pPr>
        <w:widowControl w:val="0"/>
        <w:spacing w:line="360" w:lineRule="auto"/>
        <w:ind w:firstLine="482" w:firstLineChars="200"/>
      </w:pPr>
      <w:r>
        <w:rPr>
          <w:rFonts w:hint="eastAsia" w:ascii="宋体" w:hAnsi="宋体" w:eastAsia="宋体" w:cs="宋体"/>
          <w:b/>
          <w:bCs/>
          <w:sz w:val="24"/>
          <w:szCs w:val="24"/>
        </w:rPr>
        <w:t>第十二条 费用结算</w:t>
      </w:r>
    </w:p>
    <w:p w14:paraId="5F477B51">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1.服务费用：收费标准详见附件【】，若本合同收费标准未明确的，乙方应在收到甲方服务需求后向甲方报价，经甲方书面同意后按甲方同意的标准计收服务费。</w:t>
      </w:r>
    </w:p>
    <w:p w14:paraId="1B36F63F">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2.服务费用结算：</w:t>
      </w:r>
    </w:p>
    <w:p w14:paraId="42FD8F33">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服务费用的结算由甲、乙双方根据本合同约定的或甲方书面确认的收费标准进行书面确认。服务费用实报实销项，乙方必须提供相应收据、明细、发票等对账结算所需的文件资料，且发票上需备注对应的提运单号。乙方不得伪造或虚报对账文件或结算金额，否则乙方应按伪造差额的二倍向甲方返还差额，且甲方有权解除本合同。</w:t>
      </w:r>
    </w:p>
    <w:p w14:paraId="16B3F1C1">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（2）费用结算的条件：货到甲方指定地点交指定人签收，且运输相关单据、回单、发票等必要文件交付甲方。</w:t>
      </w:r>
    </w:p>
    <w:p w14:paraId="35FC3F9D">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采用月结方式，后，即每月【】日前乙方将上月物流服务费用发生明细、对账单等结算文件整理后递交给甲方，甲方在收到全部文件后【】日内核对完毕并通知乙方。乙方应向甲方开具合法足额的增值税专用发票，甲方收到发票后【】日内向乙方结算上月运输服务费。</w:t>
      </w:r>
    </w:p>
    <w:p w14:paraId="541D9E75">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结算届满之日如遇法定节假日的，结算日期顺延。因乙方不提供或提供结算文件和发票不符合合同约定的，甲方有权拒绝结算，直至乙方提供符合条件的单据和发票时止。</w:t>
      </w:r>
    </w:p>
    <w:p w14:paraId="045198F7">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3.运费结算方式按以下第【】种方式：</w:t>
      </w:r>
    </w:p>
    <w:p w14:paraId="232173E6">
      <w:pPr>
        <w:widowControl w:val="0"/>
        <w:numPr>
          <w:ilvl w:val="0"/>
          <w:numId w:val="2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银行电汇；</w:t>
      </w:r>
    </w:p>
    <w:p w14:paraId="33567997">
      <w:pPr>
        <w:widowControl w:val="0"/>
        <w:numPr>
          <w:ilvl w:val="0"/>
          <w:numId w:val="2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银行承兑汇票；</w:t>
      </w:r>
    </w:p>
    <w:p w14:paraId="48D3B3BC">
      <w:pPr>
        <w:widowControl w:val="0"/>
        <w:numPr>
          <w:ilvl w:val="0"/>
          <w:numId w:val="2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其他：【】。</w:t>
      </w:r>
    </w:p>
    <w:p w14:paraId="25F6279F">
      <w:pPr>
        <w:widowControl w:val="0"/>
        <w:numPr>
          <w:ilvl w:val="0"/>
          <w:numId w:val="2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乙方收款账户信息：</w:t>
      </w:r>
    </w:p>
    <w:p w14:paraId="458EACB1">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w:t>
      </w:r>
    </w:p>
    <w:p w14:paraId="389029F7">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开户名：【】</w:t>
      </w:r>
    </w:p>
    <w:p w14:paraId="678060E9">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银行账号：【】</w:t>
      </w:r>
    </w:p>
    <w:p w14:paraId="376EAC06">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第十三条 甲方权利义务</w:t>
      </w:r>
    </w:p>
    <w:p w14:paraId="5B5AC3F3">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甲方有权要求乙方按照甲方指定的时间、地点完成甲方所委托的业务。甲方有权对乙方履行本协议义务的行为进行监督、指导，并随时了解货物状况。</w:t>
      </w:r>
    </w:p>
    <w:p w14:paraId="4F97B7AA">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2.甲方委托乙方进行上述业务时，应向乙方提供相关货物的名称、规格型号、数量、货值、产地、装箱情况等相关信息。甲方提供的上述信息均属于保密信息，乙方应承担保密义务。</w:t>
      </w:r>
    </w:p>
    <w:p w14:paraId="3DDE441C">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3.甲方所委托之业务，不得夹带国家禁止进出口之物品，否则乙方有权拒绝承运或接受委托。如遇特殊货物应以提前告知乙方。</w:t>
      </w:r>
    </w:p>
    <w:p w14:paraId="563CC73E">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4.在合同执行期间，甲方有权对乙方提供的服务进行监督，乙方提供的物流服务未达到甲方合理要求时，甲方有权委托第三方提供服务,产生费用和因此导致的相关工作延期等由乙方承担。</w:t>
      </w:r>
    </w:p>
    <w:p w14:paraId="39313A39">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5.甲方应按约定向乙方支付服务费用。</w:t>
      </w:r>
    </w:p>
    <w:p w14:paraId="511F02A4">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6.甲方指派项目联系人为：【】，联系电话：【】，负责本项目联络事宜。</w:t>
      </w:r>
    </w:p>
    <w:p w14:paraId="2DBE64CE">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第十四条 乙方权利义务</w:t>
      </w:r>
    </w:p>
    <w:p w14:paraId="59D5015D">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乙方的物流服务内容包括与甲方指定的供应商或客户联系，并根据甲方的书面指示或运输指令内容进行订舱、配载、报关、报检、报验、装箱、转运、保险、送货上门、上门提货、装卸、搬运、文件（含单据）交接及审核、取得相关货物单证及货物信息及时反馈等事宜，保证提供优质物流服务。乙方应委派专人到现场负责与甲方联系、协调，并及时向甲方提供舱位信息和货物装运过程的全程信息动态及装货照片等。</w:t>
      </w:r>
    </w:p>
    <w:p w14:paraId="7BD7B819">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2.乙方应向甲方提供上述业务所需的信息，及以书面形式向甲方提供运价及最新运价信息包含行业动态等，并及时答复甲方的询价及其他查询。</w:t>
      </w:r>
    </w:p>
    <w:p w14:paraId="3D198917">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3.乙方对于甲方货物应谨慎、妥善、专业地进行装卸、搬运、保管及运输确保货物安全。货物由装车到收货人签收期间，货物安全完全由乙方负责，乙方保证货物损差率、破片率为零。</w:t>
      </w:r>
    </w:p>
    <w:p w14:paraId="3B885E11">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在为甲方提供报关、报检等代理服务过程中，应在甲方的书面授权范围内进行活动，认真履行职责，维护甲方的合法权益，并对因自身的过失或疏忽给甲方造成的货物损失承担赔偿责任。乙方应当组建专业负责的工作团队负责为甲方提供物流服务，并由乙方负责对团队成员进行管理，由其成员负责甲方项目事务的具体办理,乙方团队成员或员工行为均视为乙方行为。</w:t>
      </w:r>
    </w:p>
    <w:p w14:paraId="424B6F32">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应提供符合运输条件的运输工具及舱位，乙方接受甲方委托的业务之后，在舱位、车辆紧张的情况下,乙方应优先满足甲方要求。在运输途中未经甲方同意不得变更运输工具，未作特殊说明的运输工具均视为直航、直达；如有绕行、转船（机、车）需事先征得甲方同意。</w:t>
      </w:r>
    </w:p>
    <w:p w14:paraId="367253FE">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6.当甲方或由甲方指定交货方交付货物给乙方后，乙方应对此货物之安全负责。</w:t>
      </w:r>
    </w:p>
    <w:p w14:paraId="6D54F543">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应妥善保管甲方提供的相关资料及凭证，如因乙方遗失重要单证给甲方造成的全部直接或间接损失（包括但不限于货物损失、第三方索赔损失、单据补遗相关费用、预期利益损失等），乙方应予以全额赔偿。</w:t>
      </w:r>
    </w:p>
    <w:p w14:paraId="59BFD3BA">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当海关等有关行政主管部门有开箱查验需求时，乙方应提前/第一时间告知甲方及托运人，并在甲方或托运人书面同意后，方可执行后续查验动作，例如：查验注意事项、确保产品完好及包装完好、记录并拍照等。</w:t>
      </w:r>
    </w:p>
    <w:p w14:paraId="27A12551">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甲方对货物及相关单据拥有完全的所有权，未经甲方书面同意，乙方不得对相关货物、单证（包括但不限于提单、海运单等）进行变卖、拍卖、抵押、扣押、留置、赠送、拆装、使用及其它处置。否则，由此造成的全部直接或间接损失（包括但不限于货物损失、第三方索赔损失、单据补遗相关费用、预期利益损失等）由乙方全额赔偿，并承担货物价值2倍的违约金。</w:t>
      </w:r>
    </w:p>
    <w:p w14:paraId="0A08B504">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 乙方应及时向甲方提供物流服务过程中产生的各种单证。</w:t>
      </w:r>
    </w:p>
    <w:p w14:paraId="0067529B">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11.在本合同的有效期内，对于乙方为了履行本合同项下的义务而发生的一切相关费用，乙方必须在费用发生前得到甲方的书面认可，否则，该部分费用将由乙方自行承担。</w:t>
      </w:r>
    </w:p>
    <w:p w14:paraId="0B712774">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12.乙方配合甲方对所有海运货物提供正本提单或电放提单，根据甲方要求及时办理抽单及清关等业务。乙方应当严格按照甲方的指令提供物流服务，不得以任何借口推诿、拒绝甲方的要求。</w:t>
      </w:r>
    </w:p>
    <w:p w14:paraId="2D235AED">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13.乙方取保车辆行驶途中遵守交通法规，因车辆行驶、货物违法装运等接受执法部门查处的，乙方自行承担，且由此给甲方货物造成延期的，并向甲方承担违约责任。</w:t>
      </w:r>
    </w:p>
    <w:p w14:paraId="33654908">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 乙方人员、车辆出入甲方厂区内及甲方指定的目的地装卸仓库，码头等场所，必须遵守该场所内的相关规定；乙方负责相关人员的安全保护责任，乙方在货物装卸、运送过程中发生的人员伤亡，由乙方自行负责。乙方人员给第三方造成人身或财产损失的，由乙方承担相关责任。</w:t>
      </w:r>
    </w:p>
    <w:p w14:paraId="7DE39A97">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15.提货时，甲乙双方当场确认商品运输包装，一经乙方确认接受，如出现运输包装毁损，给甲方造成损失，由乙方予以赔偿。</w:t>
      </w:r>
    </w:p>
    <w:p w14:paraId="383AB275">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16.乙方指派项目联系人为：【】，联系电话：【】，负责本项目联络事宜。</w:t>
      </w:r>
    </w:p>
    <w:p w14:paraId="2FC2500C">
      <w:pPr>
        <w:widowControl w:val="0"/>
        <w:spacing w:line="360" w:lineRule="auto"/>
        <w:ind w:firstLine="480" w:firstLineChars="200"/>
      </w:pPr>
      <w:r>
        <w:rPr>
          <w:rFonts w:hint="eastAsia" w:ascii="宋体" w:hAnsi="宋体" w:eastAsia="宋体" w:cs="宋体"/>
          <w:sz w:val="24"/>
          <w:szCs w:val="24"/>
        </w:rPr>
        <w:t>17.本合同履行过程中，若乙方出现经营状况恶化、提供运输服务所必需的资质文件失效等情形时，应及时书面通知甲方，甲方有权暂停合同履行并要求乙方限期改善或乙方无法消除履约异常情形的甲方有权解除本合同。</w:t>
      </w:r>
    </w:p>
    <w:p w14:paraId="30111860">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 xml:space="preserve">第十五条 违约责任 </w:t>
      </w:r>
    </w:p>
    <w:p w14:paraId="173919F3">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除本合同另有约定外，甲乙双方任何一方不得擅自解除本合同，否则由此给守约方造成的全部损失由违约方承担。乙方在提供书面报价文件后拒绝执行或者只愿意履行部分报价及相关操作，则甲方有权终止合同。</w:t>
      </w:r>
    </w:p>
    <w:p w14:paraId="773CB4F4">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未按甲方要求的指定车型到达指定提货地点的，甲方有权要求乙方更换运输车型，所产生的一切费用由乙方自行承担，乙方拒不更换的甲方有权委托第三方进行运输，由此产生的全部费用及损失由乙方承担。</w:t>
      </w:r>
    </w:p>
    <w:p w14:paraId="234854AF">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3.由于乙方违反其在本合同下的义务，而给甲方造成的货物损失、额外支出和费用、因此遭受的第三方索赔等，乙方应予赔偿。</w:t>
      </w:r>
    </w:p>
    <w:p w14:paraId="48FF3202">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4.对于交由乙方安排运输的甲方或其供应商、客户的货物，出现异常情况乙方未及时反馈给甲方，而导致的迟延交付，每逾期一日，乙方应当向甲方支付该批货物价值的2%支付违约金；如因乙方原因发生货物短缺、残损、损坏、灭失或湿损的，每发生一次，乙方应当向甲方支付该批货物价值10%的违约金，货物价值以货物受损失时的市场价格确定； </w:t>
      </w:r>
    </w:p>
    <w:p w14:paraId="5EED14DD">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5.因乙方原因货物到港后【】个工作日未进行报关或完成报关的, 则甲方有权扣除该单货物物流费用的50%；超过【】个工作日仍未进行报关或完成报关的,则甲方扣除该单货物全部物流费用且乙方应赔偿甲方在货物到港后因不能正常通关而造成的全部损失。</w:t>
      </w:r>
    </w:p>
    <w:p w14:paraId="1DDCFB12">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乙方应将甲方委托的货物送达到指定地点交指定收货人签收，否则按每延迟1小时向甲方支付此单运费额【】‰的标准作为违约金。超时送达超过【】小时或未交指定人签收造成货物丢失或减损的，甲方有权解除该次派单且不支付任何费用，因此给甲方造成的损失（包括货物损失、违约金、赔偿金、预期利益损失等）由乙方承担。</w:t>
      </w:r>
    </w:p>
    <w:p w14:paraId="08BA8F91">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7.乙方应当确保货物安全，因乙方原因造成甲方货物丢失、损坏、灭失或变质的，乙方应按货物市价予以赔偿，由此给甲方造成的违约金、赔偿金、预期利益等损失由乙方承担。</w:t>
      </w:r>
    </w:p>
    <w:p w14:paraId="03883E48">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8.如甲方未在规定时间支付乙方运输服务费，甲方每天应按未付服务费金额【】‰的标准支付违约金给乙方。</w:t>
      </w:r>
    </w:p>
    <w:p w14:paraId="216BA640">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9.上述违约金不足以弥补守约方因此遭受的损失的，违约方还应予以补足。守约方有权将违约金、赔偿金等费用从未付服务费中扣除。</w:t>
      </w:r>
    </w:p>
    <w:p w14:paraId="49C8817E">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第十六条 损失赔偿</w:t>
      </w:r>
    </w:p>
    <w:p w14:paraId="238F055A">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货物因乙方原因而造成毁损、灭失的，乙方按货物的市场销售价值赔偿甲方。货物因不可抗力原因造成的毁损、灭失的，乙方不承担赔偿责任，但应当配合甲方提供关于不可抗力原因、货物毁损灭失的相关证明资料文件，配合甲方开展保险理赔工作。</w:t>
      </w:r>
    </w:p>
    <w:p w14:paraId="34DA92F4">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2.乙方未按本合同约定履行合同义务的，包括未按时完成委托事项、未按约定运输货物等，由此给甲方造成的合理损失由乙方予以全额赔偿，合理损失包括但不限于：</w:t>
      </w:r>
    </w:p>
    <w:p w14:paraId="6E5EA7E8">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（1）甲方为弥补乙方违约自行处理或委托第三方处理产生的费用；</w:t>
      </w:r>
    </w:p>
    <w:p w14:paraId="69F80FE4">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（2）货物损毁给甲方造成的财产损失；</w:t>
      </w:r>
    </w:p>
    <w:p w14:paraId="11171A13">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（3）甲方因乙方违约行为导致被索赔的损失，如客户罚款、违约金、赔偿金等；</w:t>
      </w:r>
    </w:p>
    <w:p w14:paraId="0627BEC3">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（4）甲方遭受的其他合理损失。</w:t>
      </w:r>
    </w:p>
    <w:p w14:paraId="4FDD8C4C">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3.因甲方原因导致的货物损失由甲方自行承担，因甲方违反国家法律法规、无正当理由终止或中止委托等导致乙方运输费用及成本增加的，相关费用由甲方承担。</w:t>
      </w:r>
    </w:p>
    <w:p w14:paraId="25DE2864">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4.因不可抗力造成的损失，甲乙双方互不承担赔偿责任。但双方应互相配合避免损失扩大，因一方造成对方损失扩大的，扩大部分的损失由违约方承担。</w:t>
      </w:r>
    </w:p>
    <w:p w14:paraId="6C760A7A">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5.违约方拒不承担赔偿责任的，索赔方有权将损失赔偿费从未付款项或履约保证金中扣除，并应自逾期之日起按中国人民银行同期贷款利率支付逾期赔偿违约金。</w:t>
      </w:r>
    </w:p>
    <w:p w14:paraId="2E7639E4">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第十七条 保密</w:t>
      </w:r>
    </w:p>
    <w:p w14:paraId="5781E0B8">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14:paraId="11130F46">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本保密义务不受本合同其他条款无效或本合同被提前解除的影响。一旦发生泄密行为，泄密方向受损害方承担违约责任以及相应法律责任，其中违约金为本合同项下累计总金额的20%。</w:t>
      </w:r>
    </w:p>
    <w:p w14:paraId="03C601C6">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第十八条 转让和分包</w:t>
      </w:r>
    </w:p>
    <w:p w14:paraId="73F329B4">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1.任何一方未取得另一方事先书面同意，不得将本合同项下的部分或全部内容转让给第三方。</w:t>
      </w:r>
    </w:p>
    <w:p w14:paraId="3C6452AF">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2.未经甲方书面同意，乙方不得将本合同服务范围中的事项对外转包或分包。确需转包或分包的，应事先取得甲方书面同意。乙方擅自转让或分包的，甲方有权解除本合同。</w:t>
      </w:r>
    </w:p>
    <w:p w14:paraId="622201A3">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3.乙方应对所有分包货物承担本合同项下的全部责任。甲方对分包商的确认与否并不免除乙方根据本合同所应承担的任何责任。</w:t>
      </w:r>
    </w:p>
    <w:p w14:paraId="339A14F0">
      <w:pPr>
        <w:widowControl w:val="0"/>
        <w:spacing w:line="360" w:lineRule="auto"/>
        <w:ind w:firstLine="482" w:firstLineChars="200"/>
        <w:rPr>
          <w:rFonts w:ascii="宋体" w:hAnsi="宋体" w:eastAsia="宋体" w:cs="宋体"/>
          <w:sz w:val="24"/>
          <w:szCs w:val="24"/>
        </w:rPr>
      </w:pPr>
      <w:r>
        <w:rPr>
          <w:rFonts w:hint="eastAsia" w:ascii="宋体" w:hAnsi="宋体" w:eastAsia="宋体" w:cs="宋体"/>
          <w:b/>
          <w:bCs/>
          <w:color w:val="000000" w:themeColor="text1"/>
          <w:sz w:val="24"/>
          <w:szCs w:val="24"/>
          <w14:textFill>
            <w14:solidFill>
              <w14:schemeClr w14:val="tx1"/>
            </w14:solidFill>
          </w14:textFill>
        </w:rPr>
        <w:t>第十九条 不可抗力及免责</w:t>
      </w:r>
      <w:r>
        <w:rPr>
          <w:rFonts w:hint="eastAsia" w:ascii="宋体" w:hAnsi="宋体" w:eastAsia="宋体" w:cs="宋体"/>
          <w:sz w:val="24"/>
          <w:szCs w:val="24"/>
        </w:rPr>
        <w:t xml:space="preserve"> </w:t>
      </w:r>
    </w:p>
    <w:p w14:paraId="50339E12">
      <w:pPr>
        <w:widowControl w:val="0"/>
        <w:spacing w:line="360" w:lineRule="auto"/>
        <w:ind w:firstLine="480" w:firstLineChars="200"/>
      </w:pPr>
      <w:r>
        <w:rPr>
          <w:rFonts w:hint="eastAsia" w:ascii="宋体" w:hAnsi="宋体" w:eastAsia="宋体" w:cs="宋体"/>
          <w:sz w:val="24"/>
          <w:szCs w:val="24"/>
        </w:rPr>
        <w:t>任何一方由于不能预见、不能避免且不能克服的客观事件，如战争及严重的火灾、台风、地震、水灾，而影响其履行合同所规定的义务的，受影响方应立即将所发生的不可抗力事件的情况以书面形式通知另一方，并在事件发生后十五日内将权威机构和政府组织出具的证明文件提交另一方，受影响方可免予承担相应的违约责任。在此情况下，受影响方仍应采取一切必要措施尽快履行协议并防止损失的扩大，否则应就因此扩大的损失向甲方承担赔偿责任。如果不可抗力事故持续超过6天，另一方有权书面通知受影响方终止协议。如受影响方未按本协议履行通知义务并提供证明文件的，应承担对方的损失，包括但不限于直接间接损失、利润损失等。</w:t>
      </w:r>
    </w:p>
    <w:p w14:paraId="5303300B">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第二十条 争议解决</w:t>
      </w:r>
    </w:p>
    <w:p w14:paraId="7065E836">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本合同的效力、解释、执行和因本协议引起的争议的解决适用中华人民共和国大陆地区法律。中华人民共和国缔结或者参加的国际条约有不同规定的，适用该国际条约的规定，但中华人民共和国声明保留的条款除外。</w:t>
      </w:r>
    </w:p>
    <w:p w14:paraId="2C274A69">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同意对本合同下出现的任何争议，应首先通过友好协商的方式加以解决。若无法协商解决，则双方同意向甲方所在地具有管辖权的人民法院提起诉讼。败诉方承担对方发生的所有合理的开支和费用，包括但不限于律师费，诉讼费、保全费、交通食宿、调查费、鉴定费等。</w:t>
      </w:r>
    </w:p>
    <w:p w14:paraId="53AFB296">
      <w:pPr>
        <w:widowControl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第二十一条  其他</w:t>
      </w:r>
    </w:p>
    <w:p w14:paraId="3F97D000">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1.本合同与下列文件一起构成合同文件：</w:t>
      </w:r>
    </w:p>
    <w:p w14:paraId="6CE885BA">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（1）中标通知书（如果有）；</w:t>
      </w:r>
    </w:p>
    <w:p w14:paraId="4912059D">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（2）竞争性谈判文件及其补遗（如果有）；</w:t>
      </w:r>
    </w:p>
    <w:p w14:paraId="780AE75C">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（3）竞标函及其附录（如果有）；</w:t>
      </w:r>
    </w:p>
    <w:p w14:paraId="030ABC26">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（4）合同附件及技术标准和要求；</w:t>
      </w:r>
    </w:p>
    <w:p w14:paraId="00D8E318">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（5）招竞标洽谈记录表、现场澄清记录及录音文件（如果有）；</w:t>
      </w:r>
    </w:p>
    <w:p w14:paraId="5576F97E">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（6）其他合同文件。</w:t>
      </w:r>
    </w:p>
    <w:p w14:paraId="0F18B040">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具备同等法律效力。上述文件内容与合同内容有冲突的，按照对乙方要求最高的一项执行，如无法确定的，以甲方最终确认的要求执行。</w:t>
      </w:r>
    </w:p>
    <w:p w14:paraId="11DD7045">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2.本合同经双方加盖公章或合同专用章后生效。正本【】式【】份；甲乙双方各执【】份，具有同等法律效力。双方均向对方保证：本合同授权代表是经各自完全授权的合法代表。</w:t>
      </w:r>
    </w:p>
    <w:p w14:paraId="37E7DDAA">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3.本合同期限内，双方未经书面协商一致均不得随意变更本合同。本合同如有未尽事宜，须经双方共同协商，进行补充规定，书面补充规定与本合同具有同等效力。</w:t>
      </w:r>
    </w:p>
    <w:p w14:paraId="78EE6843">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通知和送达：本合同项下一方发往另一方的通知、往来函件、诉讼文书，均应发往本条款列明的下列地址，直到另一方书面通知更改该地址为止。只要按上述地址发送，均视为有效的送达。一方变更送达地址的应当提前通知对方。</w:t>
      </w:r>
    </w:p>
    <w:p w14:paraId="17D8EDDE">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甲方通知和送达地址：邮箱：【】；电话：【】；送达地址：【】；                                              </w:t>
      </w:r>
    </w:p>
    <w:p w14:paraId="42CD2D20">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乙方通知和送达地址：邮箱：【】；电话：【】；送达地址：【】；  </w:t>
      </w:r>
    </w:p>
    <w:p w14:paraId="6734AD03">
      <w:pPr>
        <w:widowControl w:val="0"/>
        <w:spacing w:line="360" w:lineRule="auto"/>
        <w:ind w:firstLine="480" w:firstLineChars="200"/>
        <w:rPr>
          <w:rFonts w:ascii="宋体" w:hAnsi="宋体" w:eastAsia="宋体" w:cs="宋体"/>
          <w:sz w:val="24"/>
          <w:szCs w:val="24"/>
        </w:rPr>
      </w:pPr>
    </w:p>
    <w:p w14:paraId="6D410CB7">
      <w:pPr>
        <w:widowControl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合同附件：附件一：【】；附件二：【】；附件三：【】。</w:t>
      </w:r>
    </w:p>
    <w:p w14:paraId="2BFB6690">
      <w:pPr>
        <w:widowControl w:val="0"/>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【以下无正文，系《物流服务合同》签署页】</w:t>
      </w:r>
    </w:p>
    <w:p w14:paraId="4C69A76E">
      <w:pPr>
        <w:keepNext/>
        <w:keepLines/>
        <w:widowControl w:val="0"/>
        <w:spacing w:before="340" w:after="330" w:line="578" w:lineRule="auto"/>
        <w:jc w:val="both"/>
        <w:outlineLvl w:val="0"/>
        <w:rPr>
          <w:rFonts w:ascii="Times New Roman" w:hAnsi="Times New Roman" w:eastAsia="宋体" w:cs="Times New Roman"/>
          <w:b/>
          <w:bCs/>
          <w:kern w:val="44"/>
          <w:sz w:val="44"/>
          <w:szCs w:val="44"/>
        </w:rPr>
      </w:pPr>
    </w:p>
    <w:tbl>
      <w:tblPr>
        <w:tblStyle w:val="36"/>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A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B8896C5">
            <w:pPr>
              <w:widowControl w:val="0"/>
              <w:spacing w:line="320" w:lineRule="exact"/>
              <w:rPr>
                <w:rFonts w:ascii="宋体" w:hAnsi="宋体" w:eastAsia="宋体" w:cs="宋体"/>
                <w:sz w:val="24"/>
                <w:szCs w:val="24"/>
              </w:rPr>
            </w:pPr>
            <w:r>
              <w:rPr>
                <w:rFonts w:hint="eastAsia" w:ascii="宋体" w:hAnsi="宋体" w:eastAsia="宋体" w:cs="宋体"/>
                <w:sz w:val="24"/>
                <w:szCs w:val="24"/>
              </w:rPr>
              <w:t>甲方（盖章）：</w:t>
            </w:r>
          </w:p>
          <w:p w14:paraId="065A3099">
            <w:pPr>
              <w:widowControl w:val="0"/>
              <w:spacing w:line="320" w:lineRule="exact"/>
              <w:rPr>
                <w:rFonts w:ascii="宋体" w:hAnsi="宋体" w:eastAsia="宋体" w:cs="宋体"/>
                <w:sz w:val="24"/>
                <w:szCs w:val="24"/>
              </w:rPr>
            </w:pPr>
          </w:p>
        </w:tc>
        <w:tc>
          <w:tcPr>
            <w:tcW w:w="4261" w:type="dxa"/>
          </w:tcPr>
          <w:p w14:paraId="100D42E5">
            <w:pPr>
              <w:widowControl w:val="0"/>
              <w:spacing w:line="320" w:lineRule="exact"/>
              <w:rPr>
                <w:rFonts w:ascii="宋体" w:hAnsi="宋体" w:eastAsia="宋体" w:cs="宋体"/>
                <w:szCs w:val="24"/>
              </w:rPr>
            </w:pPr>
            <w:r>
              <w:rPr>
                <w:rFonts w:hint="eastAsia" w:ascii="宋体" w:hAnsi="宋体" w:eastAsia="宋体" w:cs="宋体"/>
                <w:szCs w:val="24"/>
              </w:rPr>
              <w:t>乙方（盖章）：</w:t>
            </w:r>
          </w:p>
          <w:p w14:paraId="79CD466D">
            <w:pPr>
              <w:keepNext/>
              <w:keepLines/>
              <w:widowControl w:val="0"/>
              <w:spacing w:before="340" w:after="330" w:line="578" w:lineRule="auto"/>
              <w:jc w:val="both"/>
              <w:outlineLvl w:val="0"/>
              <w:rPr>
                <w:rFonts w:ascii="宋体" w:hAnsi="宋体" w:eastAsia="宋体" w:cs="宋体"/>
                <w:b/>
                <w:bCs/>
                <w:kern w:val="44"/>
                <w:sz w:val="44"/>
                <w:szCs w:val="44"/>
              </w:rPr>
            </w:pPr>
          </w:p>
        </w:tc>
      </w:tr>
      <w:tr w14:paraId="7FBE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1D706B5">
            <w:pPr>
              <w:widowControl w:val="0"/>
              <w:spacing w:line="320" w:lineRule="exact"/>
              <w:rPr>
                <w:rFonts w:ascii="宋体" w:hAnsi="宋体" w:eastAsia="宋体" w:cs="宋体"/>
                <w:sz w:val="24"/>
                <w:szCs w:val="24"/>
              </w:rPr>
            </w:pPr>
            <w:r>
              <w:rPr>
                <w:rFonts w:hint="eastAsia" w:ascii="宋体" w:hAnsi="宋体" w:eastAsia="宋体" w:cs="宋体"/>
                <w:sz w:val="24"/>
                <w:szCs w:val="24"/>
              </w:rPr>
              <w:t>授权代表人（签字）：</w:t>
            </w:r>
          </w:p>
        </w:tc>
        <w:tc>
          <w:tcPr>
            <w:tcW w:w="4261" w:type="dxa"/>
          </w:tcPr>
          <w:p w14:paraId="284637FC">
            <w:pPr>
              <w:widowControl w:val="0"/>
              <w:spacing w:line="320" w:lineRule="exact"/>
              <w:rPr>
                <w:rFonts w:ascii="宋体" w:hAnsi="宋体" w:eastAsia="宋体" w:cs="宋体"/>
                <w:sz w:val="24"/>
                <w:szCs w:val="24"/>
              </w:rPr>
            </w:pPr>
            <w:r>
              <w:rPr>
                <w:rFonts w:hint="eastAsia" w:ascii="宋体" w:hAnsi="宋体" w:eastAsia="宋体" w:cs="宋体"/>
                <w:sz w:val="24"/>
                <w:szCs w:val="24"/>
              </w:rPr>
              <w:t>授权代表人（签字）：</w:t>
            </w:r>
          </w:p>
        </w:tc>
      </w:tr>
    </w:tbl>
    <w:p w14:paraId="70009866">
      <w:pPr>
        <w:widowControl w:val="0"/>
        <w:spacing w:line="320" w:lineRule="exact"/>
        <w:ind w:firstLine="480" w:firstLineChars="200"/>
        <w:rPr>
          <w:rFonts w:ascii="宋体" w:hAnsi="宋体" w:eastAsia="宋体" w:cs="宋体"/>
          <w:sz w:val="24"/>
          <w:szCs w:val="24"/>
        </w:rPr>
      </w:pPr>
    </w:p>
    <w:p w14:paraId="66388FDA">
      <w:pPr>
        <w:pStyle w:val="2"/>
      </w:pPr>
    </w:p>
    <w:p w14:paraId="2934A63C">
      <w:pPr>
        <w:pStyle w:val="68"/>
        <w:ind w:firstLine="0" w:firstLineChars="0"/>
        <w:outlineLvl w:val="2"/>
        <w:rPr>
          <w:rFonts w:ascii="宋体" w:hAnsi="宋体" w:eastAsia="宋体" w:cs="宋体"/>
        </w:rPr>
      </w:pPr>
    </w:p>
    <w:p w14:paraId="4E807DA2">
      <w:pPr>
        <w:pStyle w:val="68"/>
        <w:ind w:firstLine="0" w:firstLineChars="0"/>
        <w:outlineLvl w:val="2"/>
        <w:rPr>
          <w:rFonts w:ascii="宋体" w:hAnsi="宋体" w:eastAsia="宋体" w:cs="宋体"/>
        </w:rPr>
      </w:pPr>
    </w:p>
    <w:p w14:paraId="2F9091BF">
      <w:pPr>
        <w:pStyle w:val="68"/>
        <w:ind w:firstLine="0" w:firstLineChars="0"/>
        <w:outlineLvl w:val="2"/>
        <w:rPr>
          <w:rFonts w:ascii="宋体" w:hAnsi="宋体" w:eastAsia="宋体" w:cs="宋体"/>
        </w:rPr>
      </w:pPr>
    </w:p>
    <w:p w14:paraId="24CCCCA7">
      <w:pPr>
        <w:pStyle w:val="68"/>
        <w:ind w:firstLine="0" w:firstLineChars="0"/>
        <w:outlineLvl w:val="2"/>
        <w:rPr>
          <w:rFonts w:ascii="宋体" w:hAnsi="宋体" w:eastAsia="宋体" w:cs="宋体"/>
        </w:rPr>
      </w:pPr>
    </w:p>
    <w:p w14:paraId="66D3D266">
      <w:pPr>
        <w:pStyle w:val="68"/>
        <w:ind w:firstLine="0" w:firstLineChars="0"/>
        <w:outlineLvl w:val="2"/>
        <w:rPr>
          <w:rFonts w:ascii="宋体" w:hAnsi="宋体" w:eastAsia="宋体" w:cs="宋体"/>
        </w:rPr>
      </w:pPr>
    </w:p>
    <w:p w14:paraId="06B8087D">
      <w:pPr>
        <w:pStyle w:val="68"/>
        <w:ind w:firstLine="0" w:firstLineChars="0"/>
        <w:outlineLvl w:val="2"/>
        <w:rPr>
          <w:rFonts w:ascii="宋体" w:hAnsi="宋体" w:eastAsia="宋体" w:cs="宋体"/>
        </w:rPr>
      </w:pPr>
    </w:p>
    <w:p w14:paraId="4EEEC886">
      <w:pPr>
        <w:pStyle w:val="68"/>
        <w:ind w:firstLine="0" w:firstLineChars="0"/>
        <w:outlineLvl w:val="2"/>
        <w:rPr>
          <w:rFonts w:ascii="宋体" w:hAnsi="宋体" w:eastAsia="宋体" w:cs="宋体"/>
        </w:rPr>
      </w:pPr>
    </w:p>
    <w:p w14:paraId="315EDF14">
      <w:pPr>
        <w:pStyle w:val="68"/>
        <w:ind w:firstLine="0" w:firstLineChars="0"/>
        <w:outlineLvl w:val="2"/>
        <w:rPr>
          <w:rFonts w:ascii="宋体" w:hAnsi="宋体" w:eastAsia="宋体" w:cs="宋体"/>
        </w:rPr>
      </w:pPr>
    </w:p>
    <w:p w14:paraId="566D3698">
      <w:pPr>
        <w:pStyle w:val="68"/>
        <w:ind w:firstLine="0" w:firstLineChars="0"/>
        <w:outlineLvl w:val="2"/>
        <w:rPr>
          <w:rFonts w:ascii="宋体" w:hAnsi="宋体" w:eastAsia="宋体" w:cs="宋体"/>
        </w:rPr>
      </w:pPr>
    </w:p>
    <w:p w14:paraId="1898AE6C">
      <w:pPr>
        <w:pStyle w:val="68"/>
        <w:ind w:firstLine="0" w:firstLineChars="0"/>
        <w:outlineLvl w:val="2"/>
        <w:rPr>
          <w:rFonts w:ascii="宋体" w:hAnsi="宋体" w:eastAsia="宋体" w:cs="宋体"/>
        </w:rPr>
      </w:pPr>
    </w:p>
    <w:p w14:paraId="66DE2BF8">
      <w:pPr>
        <w:pStyle w:val="68"/>
        <w:ind w:firstLine="0" w:firstLineChars="0"/>
        <w:outlineLvl w:val="2"/>
        <w:rPr>
          <w:rFonts w:ascii="宋体" w:hAnsi="宋体" w:eastAsia="宋体" w:cs="宋体"/>
        </w:rPr>
      </w:pPr>
    </w:p>
    <w:p w14:paraId="79EA3266">
      <w:pPr>
        <w:pStyle w:val="68"/>
        <w:ind w:firstLine="0" w:firstLineChars="0"/>
        <w:outlineLvl w:val="2"/>
        <w:rPr>
          <w:rFonts w:ascii="宋体" w:hAnsi="宋体" w:eastAsia="宋体" w:cs="宋体"/>
        </w:rPr>
      </w:pPr>
    </w:p>
    <w:p w14:paraId="367EB45A">
      <w:pPr>
        <w:pStyle w:val="68"/>
        <w:ind w:firstLine="0" w:firstLineChars="0"/>
        <w:outlineLvl w:val="2"/>
        <w:rPr>
          <w:rFonts w:ascii="宋体" w:hAnsi="宋体" w:eastAsia="宋体" w:cs="宋体"/>
        </w:rPr>
      </w:pPr>
    </w:p>
    <w:p w14:paraId="411F7B24">
      <w:pPr>
        <w:pStyle w:val="68"/>
        <w:ind w:firstLine="0" w:firstLineChars="0"/>
        <w:outlineLvl w:val="2"/>
        <w:rPr>
          <w:rFonts w:ascii="宋体" w:hAnsi="宋体" w:eastAsia="宋体" w:cs="宋体"/>
        </w:rPr>
      </w:pPr>
    </w:p>
    <w:p w14:paraId="69C80AA6">
      <w:pPr>
        <w:pStyle w:val="68"/>
        <w:ind w:firstLine="0" w:firstLineChars="0"/>
        <w:outlineLvl w:val="2"/>
        <w:rPr>
          <w:rFonts w:ascii="宋体" w:hAnsi="宋体" w:eastAsia="宋体" w:cs="宋体"/>
        </w:rPr>
      </w:pPr>
    </w:p>
    <w:p w14:paraId="125788B3">
      <w:pPr>
        <w:pStyle w:val="68"/>
        <w:ind w:firstLine="0" w:firstLineChars="0"/>
        <w:outlineLvl w:val="2"/>
        <w:rPr>
          <w:rFonts w:ascii="宋体" w:hAnsi="宋体" w:eastAsia="宋体" w:cs="宋体"/>
        </w:rPr>
      </w:pPr>
    </w:p>
    <w:p w14:paraId="5CDE9433">
      <w:pPr>
        <w:pStyle w:val="68"/>
        <w:ind w:firstLine="0" w:firstLineChars="0"/>
        <w:outlineLvl w:val="2"/>
        <w:rPr>
          <w:rFonts w:ascii="宋体" w:hAnsi="宋体" w:eastAsia="宋体" w:cs="宋体"/>
        </w:rPr>
      </w:pPr>
    </w:p>
    <w:p w14:paraId="46DFE88F">
      <w:pPr>
        <w:pStyle w:val="68"/>
        <w:ind w:firstLine="0" w:firstLineChars="0"/>
        <w:outlineLvl w:val="2"/>
        <w:rPr>
          <w:rFonts w:ascii="宋体" w:hAnsi="宋体" w:eastAsia="宋体" w:cs="宋体"/>
        </w:rPr>
      </w:pPr>
    </w:p>
    <w:p w14:paraId="0F9FAF98">
      <w:pPr>
        <w:pStyle w:val="68"/>
        <w:ind w:firstLine="0" w:firstLineChars="0"/>
        <w:outlineLvl w:val="2"/>
        <w:rPr>
          <w:rFonts w:ascii="宋体" w:hAnsi="宋体" w:eastAsia="宋体" w:cs="宋体"/>
        </w:rPr>
      </w:pPr>
    </w:p>
    <w:p w14:paraId="3887BC69">
      <w:pPr>
        <w:pStyle w:val="68"/>
        <w:ind w:firstLine="0" w:firstLineChars="0"/>
        <w:outlineLvl w:val="2"/>
        <w:rPr>
          <w:rFonts w:ascii="宋体" w:hAnsi="宋体" w:eastAsia="宋体" w:cs="宋体"/>
        </w:rPr>
      </w:pPr>
    </w:p>
    <w:p w14:paraId="7E02C502">
      <w:pPr>
        <w:pStyle w:val="68"/>
        <w:ind w:firstLine="0" w:firstLineChars="0"/>
        <w:outlineLvl w:val="2"/>
        <w:rPr>
          <w:rFonts w:ascii="宋体" w:hAnsi="宋体" w:eastAsia="宋体" w:cs="宋体"/>
        </w:rPr>
      </w:pPr>
    </w:p>
    <w:p w14:paraId="795B1DE2">
      <w:pPr>
        <w:pStyle w:val="68"/>
        <w:ind w:firstLine="0" w:firstLineChars="0"/>
        <w:outlineLvl w:val="2"/>
        <w:rPr>
          <w:rFonts w:ascii="宋体" w:hAnsi="宋体" w:eastAsia="宋体" w:cs="宋体"/>
        </w:rPr>
      </w:pPr>
    </w:p>
    <w:p w14:paraId="1B38A84F">
      <w:pPr>
        <w:pStyle w:val="68"/>
        <w:ind w:firstLine="0" w:firstLineChars="0"/>
        <w:outlineLvl w:val="2"/>
        <w:rPr>
          <w:rFonts w:ascii="宋体" w:hAnsi="宋体" w:eastAsia="宋体" w:cs="宋体"/>
        </w:rPr>
      </w:pPr>
    </w:p>
    <w:p w14:paraId="33C27FC4">
      <w:pPr>
        <w:pStyle w:val="68"/>
        <w:ind w:firstLine="0" w:firstLineChars="0"/>
        <w:outlineLvl w:val="2"/>
        <w:rPr>
          <w:rFonts w:ascii="宋体" w:hAnsi="宋体" w:eastAsia="宋体" w:cs="宋体"/>
        </w:rPr>
      </w:pPr>
      <w:r>
        <w:rPr>
          <w:rFonts w:hint="eastAsia" w:ascii="宋体" w:hAnsi="宋体" w:eastAsia="宋体" w:cs="宋体"/>
        </w:rPr>
        <w:t>附件10：</w:t>
      </w:r>
    </w:p>
    <w:p w14:paraId="39FDACD6">
      <w:pPr>
        <w:autoSpaceDE w:val="0"/>
        <w:autoSpaceDN w:val="0"/>
        <w:adjustRightInd w:val="0"/>
        <w:spacing w:line="360" w:lineRule="auto"/>
        <w:jc w:val="center"/>
        <w:rPr>
          <w:rFonts w:ascii="宋体" w:hAnsi="宋体" w:eastAsia="宋体"/>
          <w:b/>
          <w:sz w:val="48"/>
          <w:szCs w:val="48"/>
        </w:rPr>
      </w:pPr>
      <w:r>
        <w:rPr>
          <w:rFonts w:hint="eastAsia" w:ascii="宋体" w:hAnsi="宋体" w:eastAsia="宋体"/>
          <w:b/>
          <w:sz w:val="48"/>
          <w:szCs w:val="48"/>
        </w:rPr>
        <w:t>眉山琏升光伏科技有限公司国际物流运输项目</w:t>
      </w:r>
    </w:p>
    <w:p w14:paraId="585055A5">
      <w:pPr>
        <w:autoSpaceDE w:val="0"/>
        <w:autoSpaceDN w:val="0"/>
        <w:adjustRightInd w:val="0"/>
        <w:spacing w:line="360" w:lineRule="auto"/>
        <w:jc w:val="center"/>
        <w:rPr>
          <w:rFonts w:ascii="宋体" w:hAnsi="宋体" w:eastAsia="宋体"/>
          <w:b/>
          <w:sz w:val="44"/>
          <w:szCs w:val="44"/>
        </w:rPr>
      </w:pPr>
      <w:r>
        <w:rPr>
          <w:rFonts w:hint="eastAsia" w:ascii="宋体" w:hAnsi="宋体" w:eastAsia="宋体"/>
          <w:b/>
          <w:color w:val="000000"/>
          <w:sz w:val="44"/>
          <w:szCs w:val="44"/>
        </w:rPr>
        <w:t>投 标 文 件</w:t>
      </w:r>
    </w:p>
    <w:p w14:paraId="48A50ABA">
      <w:pPr>
        <w:spacing w:line="360" w:lineRule="auto"/>
        <w:jc w:val="center"/>
        <w:rPr>
          <w:rFonts w:ascii="宋体" w:hAnsi="宋体" w:eastAsia="宋体"/>
          <w:b/>
          <w:color w:val="000000"/>
          <w:sz w:val="48"/>
        </w:rPr>
      </w:pPr>
    </w:p>
    <w:p w14:paraId="0483697F">
      <w:pPr>
        <w:snapToGrid w:val="0"/>
        <w:spacing w:line="360" w:lineRule="auto"/>
        <w:ind w:firstLine="590" w:firstLineChars="196"/>
        <w:rPr>
          <w:rFonts w:ascii="宋体" w:hAnsi="宋体" w:eastAsia="宋体"/>
          <w:b/>
          <w:color w:val="000000"/>
          <w:sz w:val="30"/>
        </w:rPr>
      </w:pPr>
      <w:r>
        <w:rPr>
          <w:rFonts w:hint="eastAsia" w:ascii="宋体" w:hAnsi="宋体" w:eastAsia="宋体"/>
          <w:b/>
          <w:color w:val="000000"/>
          <w:sz w:val="30"/>
        </w:rPr>
        <w:t>项目名称：</w:t>
      </w:r>
      <w:r>
        <w:rPr>
          <w:rFonts w:hint="eastAsia" w:ascii="宋体" w:hAnsi="宋体" w:eastAsia="宋体"/>
          <w:b/>
          <w:color w:val="000000"/>
          <w:sz w:val="30"/>
          <w:u w:val="single"/>
        </w:rPr>
        <w:t xml:space="preserve">       </w:t>
      </w:r>
      <w:r>
        <w:rPr>
          <w:rFonts w:hint="eastAsia" w:ascii="宋体" w:hAnsi="宋体" w:eastAsia="宋体"/>
          <w:b/>
          <w:color w:val="000000"/>
          <w:sz w:val="30"/>
          <w:u w:val="single"/>
        </w:rPr>
        <w:tab/>
      </w:r>
      <w:r>
        <w:rPr>
          <w:rFonts w:hint="eastAsia" w:ascii="宋体" w:hAnsi="宋体" w:eastAsia="宋体"/>
          <w:b/>
          <w:color w:val="000000"/>
          <w:sz w:val="30"/>
          <w:u w:val="single"/>
        </w:rPr>
        <w:t xml:space="preserve">                    </w:t>
      </w:r>
      <w:r>
        <w:rPr>
          <w:rFonts w:hint="eastAsia" w:ascii="宋体" w:hAnsi="宋体" w:eastAsia="宋体"/>
          <w:b/>
          <w:color w:val="000000"/>
          <w:sz w:val="30"/>
          <w:u w:val="single"/>
        </w:rPr>
        <w:tab/>
      </w:r>
      <w:r>
        <w:rPr>
          <w:rFonts w:hint="eastAsia" w:ascii="宋体" w:hAnsi="宋体" w:eastAsia="宋体"/>
          <w:b/>
          <w:color w:val="000000"/>
          <w:sz w:val="30"/>
          <w:u w:val="single"/>
        </w:rPr>
        <w:tab/>
      </w:r>
      <w:r>
        <w:rPr>
          <w:rFonts w:hint="eastAsia" w:ascii="宋体" w:hAnsi="宋体" w:eastAsia="宋体"/>
          <w:b/>
          <w:color w:val="000000"/>
          <w:sz w:val="30"/>
          <w:u w:val="single"/>
        </w:rPr>
        <w:tab/>
      </w:r>
      <w:r>
        <w:rPr>
          <w:rFonts w:hint="eastAsia" w:ascii="宋体" w:hAnsi="宋体" w:eastAsia="宋体"/>
          <w:b/>
          <w:color w:val="000000"/>
          <w:sz w:val="30"/>
          <w:u w:val="single"/>
        </w:rPr>
        <w:tab/>
      </w:r>
    </w:p>
    <w:p w14:paraId="58518E35">
      <w:pPr>
        <w:snapToGrid w:val="0"/>
        <w:spacing w:line="360" w:lineRule="auto"/>
        <w:ind w:firstLine="596" w:firstLineChars="198"/>
        <w:rPr>
          <w:rFonts w:ascii="宋体" w:hAnsi="宋体" w:eastAsia="宋体"/>
          <w:b/>
          <w:color w:val="000000"/>
          <w:sz w:val="30"/>
          <w:u w:val="single"/>
        </w:rPr>
      </w:pPr>
      <w:r>
        <w:rPr>
          <w:rFonts w:hint="eastAsia" w:ascii="宋体" w:hAnsi="宋体" w:eastAsia="宋体"/>
          <w:b/>
          <w:color w:val="000000"/>
          <w:sz w:val="30"/>
        </w:rPr>
        <w:t>招标人：</w:t>
      </w:r>
      <w:r>
        <w:rPr>
          <w:rFonts w:hint="eastAsia" w:ascii="宋体" w:hAnsi="宋体" w:eastAsia="宋体"/>
          <w:b/>
          <w:color w:val="000000"/>
          <w:sz w:val="30"/>
          <w:u w:val="single"/>
        </w:rPr>
        <w:t xml:space="preserve">                </w:t>
      </w:r>
      <w:r>
        <w:rPr>
          <w:rFonts w:hint="eastAsia" w:ascii="宋体" w:hAnsi="宋体" w:eastAsia="宋体"/>
          <w:b/>
          <w:color w:val="000000"/>
          <w:sz w:val="30"/>
          <w:u w:val="single"/>
        </w:rPr>
        <w:tab/>
      </w:r>
      <w:r>
        <w:rPr>
          <w:rFonts w:hint="eastAsia" w:ascii="宋体" w:hAnsi="宋体" w:eastAsia="宋体"/>
          <w:b/>
          <w:color w:val="000000"/>
          <w:sz w:val="30"/>
          <w:u w:val="single"/>
        </w:rPr>
        <w:tab/>
      </w:r>
      <w:r>
        <w:rPr>
          <w:rFonts w:hint="eastAsia" w:ascii="宋体" w:hAnsi="宋体" w:eastAsia="宋体"/>
          <w:b/>
          <w:color w:val="000000"/>
          <w:sz w:val="30"/>
          <w:u w:val="single"/>
        </w:rPr>
        <w:t xml:space="preserve">                   </w:t>
      </w:r>
    </w:p>
    <w:p w14:paraId="6F2DC929">
      <w:pPr>
        <w:snapToGrid w:val="0"/>
        <w:spacing w:line="360" w:lineRule="auto"/>
        <w:ind w:firstLine="596" w:firstLineChars="198"/>
        <w:rPr>
          <w:rFonts w:ascii="宋体" w:hAnsi="宋体" w:eastAsia="宋体"/>
          <w:b/>
          <w:color w:val="000000"/>
          <w:sz w:val="30"/>
          <w:u w:val="single"/>
        </w:rPr>
      </w:pPr>
      <w:r>
        <w:rPr>
          <w:rFonts w:hint="eastAsia" w:ascii="宋体" w:hAnsi="宋体" w:eastAsia="宋体"/>
          <w:b/>
          <w:color w:val="000000"/>
          <w:sz w:val="30"/>
        </w:rPr>
        <w:t>标书内容：</w:t>
      </w:r>
      <w:r>
        <w:rPr>
          <w:rFonts w:hint="eastAsia" w:ascii="宋体" w:hAnsi="宋体" w:eastAsia="宋体"/>
          <w:b/>
          <w:color w:val="000000"/>
          <w:sz w:val="28"/>
          <w:szCs w:val="28"/>
          <w:u w:val="single"/>
        </w:rPr>
        <w:t xml:space="preserve">商务部分/技术部分                 </w:t>
      </w:r>
    </w:p>
    <w:p w14:paraId="4AF4B0C6">
      <w:pPr>
        <w:snapToGrid w:val="0"/>
        <w:spacing w:line="360" w:lineRule="auto"/>
        <w:ind w:firstLine="596" w:firstLineChars="198"/>
        <w:rPr>
          <w:rFonts w:ascii="宋体" w:hAnsi="宋体" w:eastAsia="宋体"/>
          <w:b/>
          <w:color w:val="000000"/>
          <w:sz w:val="30"/>
        </w:rPr>
      </w:pPr>
      <w:r>
        <w:rPr>
          <w:rFonts w:hint="eastAsia" w:ascii="宋体" w:hAnsi="宋体" w:eastAsia="宋体"/>
          <w:b/>
          <w:color w:val="000000"/>
          <w:sz w:val="30"/>
        </w:rPr>
        <w:t>投标人：</w:t>
      </w:r>
      <w:r>
        <w:rPr>
          <w:rFonts w:hint="eastAsia" w:ascii="宋体" w:hAnsi="宋体" w:eastAsia="宋体"/>
          <w:b/>
          <w:color w:val="000000"/>
          <w:sz w:val="30"/>
          <w:u w:val="single"/>
        </w:rPr>
        <w:t xml:space="preserve">                  </w:t>
      </w:r>
      <w:r>
        <w:rPr>
          <w:rFonts w:hint="eastAsia" w:ascii="宋体" w:hAnsi="宋体" w:eastAsia="宋体"/>
          <w:b/>
          <w:color w:val="000000"/>
          <w:sz w:val="30"/>
          <w:u w:val="single"/>
        </w:rPr>
        <w:tab/>
      </w:r>
      <w:r>
        <w:rPr>
          <w:rFonts w:hint="eastAsia" w:ascii="宋体" w:hAnsi="宋体" w:eastAsia="宋体"/>
          <w:b/>
          <w:color w:val="000000"/>
          <w:sz w:val="30"/>
          <w:u w:val="single"/>
        </w:rPr>
        <w:t xml:space="preserve">   </w:t>
      </w:r>
      <w:r>
        <w:rPr>
          <w:rFonts w:hint="eastAsia" w:ascii="宋体" w:hAnsi="宋体" w:eastAsia="宋体"/>
          <w:b/>
          <w:color w:val="000000"/>
          <w:sz w:val="30"/>
          <w:u w:val="single"/>
        </w:rPr>
        <w:tab/>
      </w:r>
      <w:r>
        <w:rPr>
          <w:rFonts w:hint="eastAsia" w:ascii="宋体" w:hAnsi="宋体" w:eastAsia="宋体"/>
          <w:b/>
          <w:color w:val="000000"/>
          <w:sz w:val="30"/>
          <w:u w:val="single"/>
        </w:rPr>
        <w:t xml:space="preserve">       </w:t>
      </w:r>
      <w:r>
        <w:rPr>
          <w:rFonts w:hint="eastAsia" w:ascii="宋体" w:hAnsi="宋体" w:eastAsia="宋体"/>
          <w:b/>
          <w:color w:val="000000"/>
          <w:sz w:val="30"/>
        </w:rPr>
        <w:t>（盖章）</w:t>
      </w:r>
    </w:p>
    <w:p w14:paraId="6D6D1265">
      <w:pPr>
        <w:snapToGrid w:val="0"/>
        <w:spacing w:line="360" w:lineRule="auto"/>
        <w:ind w:firstLine="596" w:firstLineChars="198"/>
        <w:rPr>
          <w:rFonts w:ascii="宋体" w:hAnsi="宋体" w:eastAsia="宋体"/>
          <w:b/>
          <w:color w:val="000000"/>
          <w:sz w:val="30"/>
        </w:rPr>
      </w:pPr>
      <w:r>
        <w:rPr>
          <w:rFonts w:hint="eastAsia" w:ascii="宋体" w:hAnsi="宋体" w:eastAsia="宋体"/>
          <w:b/>
          <w:color w:val="000000"/>
          <w:sz w:val="30"/>
        </w:rPr>
        <w:t>法定代表人或授权代表：</w:t>
      </w:r>
      <w:r>
        <w:rPr>
          <w:rFonts w:hint="eastAsia" w:ascii="宋体" w:hAnsi="宋体" w:eastAsia="宋体"/>
          <w:b/>
          <w:color w:val="000000"/>
          <w:sz w:val="30"/>
          <w:u w:val="single"/>
        </w:rPr>
        <w:t xml:space="preserve">            </w:t>
      </w:r>
      <w:r>
        <w:rPr>
          <w:rFonts w:hint="eastAsia" w:ascii="宋体" w:hAnsi="宋体" w:eastAsia="宋体"/>
          <w:b/>
          <w:color w:val="000000"/>
          <w:sz w:val="30"/>
        </w:rPr>
        <w:t>(签字或盖章）</w:t>
      </w:r>
    </w:p>
    <w:p w14:paraId="4B68934D">
      <w:pPr>
        <w:snapToGrid w:val="0"/>
        <w:spacing w:before="480" w:line="360" w:lineRule="auto"/>
        <w:jc w:val="center"/>
        <w:rPr>
          <w:rFonts w:ascii="宋体" w:hAnsi="宋体" w:eastAsia="宋体"/>
          <w:b/>
          <w:color w:val="000000"/>
          <w:sz w:val="30"/>
        </w:rPr>
      </w:pPr>
      <w:r>
        <w:rPr>
          <w:rFonts w:hint="eastAsia" w:ascii="宋体" w:hAnsi="宋体" w:eastAsia="宋体"/>
          <w:b/>
          <w:color w:val="000000"/>
          <w:sz w:val="30"/>
        </w:rPr>
        <w:t>日  期：</w:t>
      </w:r>
      <w:r>
        <w:rPr>
          <w:rFonts w:hint="eastAsia" w:ascii="宋体" w:hAnsi="宋体" w:eastAsia="宋体"/>
          <w:b/>
          <w:color w:val="000000"/>
          <w:sz w:val="30"/>
          <w:u w:val="single"/>
        </w:rPr>
        <w:t xml:space="preserve">      </w:t>
      </w:r>
      <w:r>
        <w:rPr>
          <w:rFonts w:hint="eastAsia" w:ascii="宋体" w:hAnsi="宋体" w:eastAsia="宋体"/>
          <w:b/>
          <w:color w:val="000000"/>
          <w:sz w:val="30"/>
        </w:rPr>
        <w:t>年</w:t>
      </w:r>
      <w:r>
        <w:rPr>
          <w:rFonts w:hint="eastAsia" w:ascii="宋体" w:hAnsi="宋体" w:eastAsia="宋体"/>
          <w:b/>
          <w:color w:val="000000"/>
          <w:sz w:val="30"/>
          <w:u w:val="single"/>
        </w:rPr>
        <w:t xml:space="preserve">     </w:t>
      </w:r>
      <w:r>
        <w:rPr>
          <w:rFonts w:hint="eastAsia" w:ascii="宋体" w:hAnsi="宋体" w:eastAsia="宋体"/>
          <w:b/>
          <w:color w:val="000000"/>
          <w:sz w:val="30"/>
        </w:rPr>
        <w:t xml:space="preserve"> 月</w:t>
      </w:r>
      <w:r>
        <w:rPr>
          <w:rFonts w:hint="eastAsia" w:ascii="宋体" w:hAnsi="宋体" w:eastAsia="宋体"/>
          <w:b/>
          <w:color w:val="000000"/>
          <w:sz w:val="30"/>
          <w:u w:val="single"/>
        </w:rPr>
        <w:t xml:space="preserve">     </w:t>
      </w:r>
      <w:r>
        <w:rPr>
          <w:rFonts w:hint="eastAsia" w:ascii="宋体" w:hAnsi="宋体" w:eastAsia="宋体"/>
          <w:b/>
          <w:color w:val="000000"/>
          <w:sz w:val="30"/>
        </w:rPr>
        <w:t>日</w:t>
      </w:r>
      <w:bookmarkStart w:id="32" w:name="_Toc221523537"/>
      <w:bookmarkStart w:id="33" w:name="_Toc264196374"/>
      <w:bookmarkStart w:id="34" w:name="_Toc259549952"/>
      <w:bookmarkStart w:id="35" w:name="_Toc317061045"/>
    </w:p>
    <w:bookmarkEnd w:id="32"/>
    <w:bookmarkEnd w:id="33"/>
    <w:bookmarkEnd w:id="34"/>
    <w:bookmarkEnd w:id="35"/>
    <w:p w14:paraId="791DD478">
      <w:pPr>
        <w:spacing w:line="360" w:lineRule="auto"/>
        <w:rPr>
          <w:rFonts w:ascii="宋体" w:hAnsi="宋体" w:eastAsia="宋体"/>
        </w:rPr>
      </w:pPr>
    </w:p>
    <w:sectPr>
      <w:type w:val="continuous"/>
      <w:pgSz w:w="11906" w:h="16838"/>
      <w:pgMar w:top="992" w:right="992" w:bottom="851" w:left="1134" w:header="851" w:footer="48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6FB0">
    <w:pPr>
      <w:pStyle w:val="23"/>
      <w:ind w:right="360"/>
      <w:jc w:val="right"/>
    </w:pPr>
  </w:p>
  <w:p w14:paraId="3F6EC5B5">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467370"/>
    </w:sdtPr>
    <w:sdtContent>
      <w:sdt>
        <w:sdtPr>
          <w:id w:val="1728636285"/>
        </w:sdtPr>
        <w:sdtContent>
          <w:p w14:paraId="53143EC2">
            <w:pPr>
              <w:pStyle w:val="23"/>
              <w:jc w:val="center"/>
            </w:pPr>
          </w:p>
          <w:p w14:paraId="5D19A9E8">
            <w:pPr>
              <w:pStyle w:val="2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59DFF95">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94EDC"/>
    <w:multiLevelType w:val="singleLevel"/>
    <w:tmpl w:val="88C94EDC"/>
    <w:lvl w:ilvl="0" w:tentative="0">
      <w:start w:val="5"/>
      <w:numFmt w:val="chineseCounting"/>
      <w:suff w:val="space"/>
      <w:lvlText w:val="第%1条"/>
      <w:lvlJc w:val="left"/>
      <w:rPr>
        <w:rFonts w:hint="eastAsia"/>
      </w:rPr>
    </w:lvl>
  </w:abstractNum>
  <w:abstractNum w:abstractNumId="1">
    <w:nsid w:val="CC1003C9"/>
    <w:multiLevelType w:val="singleLevel"/>
    <w:tmpl w:val="CC1003C9"/>
    <w:lvl w:ilvl="0" w:tentative="0">
      <w:start w:val="2"/>
      <w:numFmt w:val="decimal"/>
      <w:lvlText w:val="%1."/>
      <w:lvlJc w:val="left"/>
      <w:pPr>
        <w:tabs>
          <w:tab w:val="left" w:pos="312"/>
        </w:tabs>
      </w:pPr>
    </w:lvl>
  </w:abstractNum>
  <w:abstractNum w:abstractNumId="2">
    <w:nsid w:val="D0F47F2D"/>
    <w:multiLevelType w:val="singleLevel"/>
    <w:tmpl w:val="D0F47F2D"/>
    <w:lvl w:ilvl="0" w:tentative="0">
      <w:start w:val="1"/>
      <w:numFmt w:val="decimal"/>
      <w:suff w:val="nothing"/>
      <w:lvlText w:val="（%1）"/>
      <w:lvlJc w:val="left"/>
    </w:lvl>
  </w:abstractNum>
  <w:abstractNum w:abstractNumId="3">
    <w:nsid w:val="D8409E9C"/>
    <w:multiLevelType w:val="singleLevel"/>
    <w:tmpl w:val="D8409E9C"/>
    <w:lvl w:ilvl="0" w:tentative="0">
      <w:start w:val="1"/>
      <w:numFmt w:val="chineseCounting"/>
      <w:suff w:val="space"/>
      <w:lvlText w:val="第%1条"/>
      <w:lvlJc w:val="left"/>
      <w:rPr>
        <w:rFonts w:hint="eastAsia"/>
      </w:rPr>
    </w:lvl>
  </w:abstractNum>
  <w:abstractNum w:abstractNumId="4">
    <w:nsid w:val="EC236788"/>
    <w:multiLevelType w:val="singleLevel"/>
    <w:tmpl w:val="EC236788"/>
    <w:lvl w:ilvl="0" w:tentative="0">
      <w:start w:val="1"/>
      <w:numFmt w:val="decimal"/>
      <w:suff w:val="nothing"/>
      <w:lvlText w:val="（%1）"/>
      <w:lvlJc w:val="left"/>
    </w:lvl>
  </w:abstractNum>
  <w:abstractNum w:abstractNumId="5">
    <w:nsid w:val="09A0314B"/>
    <w:multiLevelType w:val="singleLevel"/>
    <w:tmpl w:val="09A0314B"/>
    <w:lvl w:ilvl="0" w:tentative="0">
      <w:start w:val="1"/>
      <w:numFmt w:val="decimal"/>
      <w:lvlText w:val="%1."/>
      <w:lvlJc w:val="left"/>
      <w:pPr>
        <w:tabs>
          <w:tab w:val="left" w:pos="312"/>
        </w:tabs>
      </w:pPr>
    </w:lvl>
  </w:abstractNum>
  <w:abstractNum w:abstractNumId="6">
    <w:nsid w:val="0BB9AD59"/>
    <w:multiLevelType w:val="singleLevel"/>
    <w:tmpl w:val="0BB9AD59"/>
    <w:lvl w:ilvl="0" w:tentative="0">
      <w:start w:val="1"/>
      <w:numFmt w:val="decimal"/>
      <w:lvlText w:val="%1."/>
      <w:lvlJc w:val="left"/>
      <w:pPr>
        <w:tabs>
          <w:tab w:val="left" w:pos="312"/>
        </w:tabs>
      </w:pPr>
    </w:lvl>
  </w:abstractNum>
  <w:abstractNum w:abstractNumId="7">
    <w:nsid w:val="0F63CEFE"/>
    <w:multiLevelType w:val="singleLevel"/>
    <w:tmpl w:val="0F63CEFE"/>
    <w:lvl w:ilvl="0" w:tentative="0">
      <w:start w:val="1"/>
      <w:numFmt w:val="decimal"/>
      <w:lvlText w:val="%1."/>
      <w:lvlJc w:val="left"/>
      <w:pPr>
        <w:tabs>
          <w:tab w:val="left" w:pos="312"/>
        </w:tabs>
      </w:pPr>
    </w:lvl>
  </w:abstractNum>
  <w:abstractNum w:abstractNumId="8">
    <w:nsid w:val="10F9101C"/>
    <w:multiLevelType w:val="singleLevel"/>
    <w:tmpl w:val="10F9101C"/>
    <w:lvl w:ilvl="0" w:tentative="0">
      <w:start w:val="4"/>
      <w:numFmt w:val="chineseCounting"/>
      <w:suff w:val="nothing"/>
      <w:lvlText w:val="%1、"/>
      <w:lvlJc w:val="left"/>
      <w:rPr>
        <w:rFonts w:hint="eastAsia"/>
      </w:rPr>
    </w:lvl>
  </w:abstractNum>
  <w:abstractNum w:abstractNumId="9">
    <w:nsid w:val="15E6C2A0"/>
    <w:multiLevelType w:val="singleLevel"/>
    <w:tmpl w:val="15E6C2A0"/>
    <w:lvl w:ilvl="0" w:tentative="0">
      <w:start w:val="1"/>
      <w:numFmt w:val="chineseCounting"/>
      <w:suff w:val="nothing"/>
      <w:lvlText w:val="%1、"/>
      <w:lvlJc w:val="left"/>
      <w:rPr>
        <w:rFonts w:hint="eastAsia"/>
      </w:rPr>
    </w:lvl>
  </w:abstractNum>
  <w:abstractNum w:abstractNumId="10">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C8A035F"/>
    <w:multiLevelType w:val="multilevel"/>
    <w:tmpl w:val="1C8A035F"/>
    <w:lvl w:ilvl="0" w:tentative="0">
      <w:start w:val="1"/>
      <w:numFmt w:val="upperRoman"/>
      <w:lvlText w:val="%1."/>
      <w:lvlJc w:val="left"/>
      <w:pPr>
        <w:ind w:left="425" w:hanging="425"/>
      </w:pPr>
      <w:rPr>
        <w:rFonts w:hint="eastAsia"/>
      </w:rPr>
    </w:lvl>
    <w:lvl w:ilvl="1" w:tentative="0">
      <w:start w:val="1"/>
      <w:numFmt w:val="decimal"/>
      <w:pStyle w:val="80"/>
      <w:lvlText w:val="%2."/>
      <w:lvlJc w:val="left"/>
      <w:pPr>
        <w:ind w:left="851" w:hanging="426"/>
      </w:pPr>
      <w:rPr>
        <w:rFonts w:hint="eastAsia"/>
      </w:rPr>
    </w:lvl>
    <w:lvl w:ilvl="2" w:tentative="0">
      <w:start w:val="1"/>
      <w:numFmt w:val="decimal"/>
      <w:lvlText w:val="%3)"/>
      <w:lvlJc w:val="left"/>
      <w:pPr>
        <w:ind w:left="1276" w:hanging="425"/>
      </w:pPr>
      <w:rPr>
        <w:rFonts w:hint="eastAsia"/>
      </w:rPr>
    </w:lvl>
    <w:lvl w:ilvl="3" w:tentative="0">
      <w:start w:val="1"/>
      <w:numFmt w:val="lowerLetter"/>
      <w:lvlText w:val="%4."/>
      <w:lvlJc w:val="left"/>
      <w:pPr>
        <w:ind w:left="1559" w:hanging="283"/>
      </w:pPr>
      <w:rPr>
        <w:rFonts w:hint="eastAsia"/>
      </w:rPr>
    </w:lvl>
    <w:lvl w:ilvl="4" w:tentative="0">
      <w:start w:val="1"/>
      <w:numFmt w:val="decimal"/>
      <w:lvlText w:val="%5."/>
      <w:lvlJc w:val="left"/>
      <w:pPr>
        <w:ind w:left="1984" w:hanging="425"/>
      </w:pPr>
      <w:rPr>
        <w:rFonts w:hint="eastAsia"/>
      </w:rPr>
    </w:lvl>
    <w:lvl w:ilvl="5" w:tentative="0">
      <w:start w:val="1"/>
      <w:numFmt w:val="lowerLetter"/>
      <w:lvlText w:val="%6."/>
      <w:lvlJc w:val="left"/>
      <w:pPr>
        <w:ind w:left="2409" w:hanging="425"/>
      </w:pPr>
      <w:rPr>
        <w:rFonts w:hint="eastAsia"/>
      </w:rPr>
    </w:lvl>
    <w:lvl w:ilvl="6" w:tentative="0">
      <w:start w:val="1"/>
      <w:numFmt w:val="lowerRoman"/>
      <w:lvlText w:val="%7."/>
      <w:lvlJc w:val="left"/>
      <w:pPr>
        <w:ind w:left="2835" w:hanging="426"/>
      </w:pPr>
      <w:rPr>
        <w:rFonts w:hint="eastAsia"/>
      </w:rPr>
    </w:lvl>
    <w:lvl w:ilvl="7" w:tentative="0">
      <w:start w:val="1"/>
      <w:numFmt w:val="lowerLetter"/>
      <w:lvlText w:val="%8."/>
      <w:lvlJc w:val="left"/>
      <w:pPr>
        <w:ind w:left="3260" w:hanging="425"/>
      </w:pPr>
      <w:rPr>
        <w:rFonts w:hint="eastAsia"/>
      </w:rPr>
    </w:lvl>
    <w:lvl w:ilvl="8" w:tentative="0">
      <w:start w:val="1"/>
      <w:numFmt w:val="lowerRoman"/>
      <w:lvlText w:val="%9."/>
      <w:lvlJc w:val="left"/>
      <w:pPr>
        <w:ind w:left="3685" w:hanging="425"/>
      </w:pPr>
      <w:rPr>
        <w:rFonts w:hint="eastAsia"/>
      </w:rPr>
    </w:lvl>
  </w:abstractNum>
  <w:abstractNum w:abstractNumId="12">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28B278F"/>
    <w:multiLevelType w:val="singleLevel"/>
    <w:tmpl w:val="228B278F"/>
    <w:lvl w:ilvl="0" w:tentative="0">
      <w:start w:val="1"/>
      <w:numFmt w:val="decimal"/>
      <w:lvlText w:val="%1."/>
      <w:lvlJc w:val="left"/>
      <w:pPr>
        <w:tabs>
          <w:tab w:val="left" w:pos="312"/>
        </w:tabs>
      </w:pPr>
    </w:lvl>
  </w:abstractNum>
  <w:abstractNum w:abstractNumId="14">
    <w:nsid w:val="23787AAA"/>
    <w:multiLevelType w:val="multilevel"/>
    <w:tmpl w:val="23787AAA"/>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8">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C466549"/>
    <w:multiLevelType w:val="singleLevel"/>
    <w:tmpl w:val="6C466549"/>
    <w:lvl w:ilvl="0" w:tentative="0">
      <w:start w:val="1"/>
      <w:numFmt w:val="chineseCounting"/>
      <w:suff w:val="space"/>
      <w:lvlText w:val="第%1条"/>
      <w:lvlJc w:val="left"/>
      <w:rPr>
        <w:rFonts w:hint="eastAsia"/>
      </w:rPr>
    </w:lvl>
  </w:abstractNum>
  <w:abstractNum w:abstractNumId="21">
    <w:nsid w:val="7B4B38CA"/>
    <w:multiLevelType w:val="multilevel"/>
    <w:tmpl w:val="7B4B38C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3"/>
        </w:tabs>
        <w:ind w:left="993" w:hanging="567"/>
      </w:pPr>
      <w:rPr>
        <w:rFonts w:hint="eastAsia"/>
      </w:rPr>
    </w:lvl>
    <w:lvl w:ilvl="2" w:tentative="0">
      <w:start w:val="1"/>
      <w:numFmt w:val="decimal"/>
      <w:pStyle w:val="82"/>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7F8E0126"/>
    <w:multiLevelType w:val="singleLevel"/>
    <w:tmpl w:val="7F8E0126"/>
    <w:lvl w:ilvl="0" w:tentative="0">
      <w:start w:val="1"/>
      <w:numFmt w:val="decimal"/>
      <w:lvlText w:val="%1."/>
      <w:lvlJc w:val="left"/>
      <w:pPr>
        <w:tabs>
          <w:tab w:val="left" w:pos="312"/>
        </w:tabs>
      </w:pPr>
    </w:lvl>
  </w:abstractNum>
  <w:num w:numId="1">
    <w:abstractNumId w:val="11"/>
  </w:num>
  <w:num w:numId="2">
    <w:abstractNumId w:val="21"/>
  </w:num>
  <w:num w:numId="3">
    <w:abstractNumId w:val="19"/>
  </w:num>
  <w:num w:numId="4">
    <w:abstractNumId w:val="12"/>
  </w:num>
  <w:num w:numId="5">
    <w:abstractNumId w:val="10"/>
  </w:num>
  <w:num w:numId="6">
    <w:abstractNumId w:val="16"/>
  </w:num>
  <w:num w:numId="7">
    <w:abstractNumId w:val="18"/>
  </w:num>
  <w:num w:numId="8">
    <w:abstractNumId w:val="15"/>
  </w:num>
  <w:num w:numId="9">
    <w:abstractNumId w:val="17"/>
  </w:num>
  <w:num w:numId="10">
    <w:abstractNumId w:val="14"/>
  </w:num>
  <w:num w:numId="11">
    <w:abstractNumId w:val="3"/>
  </w:num>
  <w:num w:numId="12">
    <w:abstractNumId w:val="9"/>
  </w:num>
  <w:num w:numId="13">
    <w:abstractNumId w:val="7"/>
  </w:num>
  <w:num w:numId="14">
    <w:abstractNumId w:val="1"/>
  </w:num>
  <w:num w:numId="15">
    <w:abstractNumId w:val="8"/>
  </w:num>
  <w:num w:numId="16">
    <w:abstractNumId w:val="20"/>
  </w:num>
  <w:num w:numId="17">
    <w:abstractNumId w:val="0"/>
  </w:num>
  <w:num w:numId="18">
    <w:abstractNumId w:val="6"/>
  </w:num>
  <w:num w:numId="19">
    <w:abstractNumId w:val="5"/>
  </w:num>
  <w:num w:numId="20">
    <w:abstractNumId w:val="2"/>
  </w:num>
  <w:num w:numId="21">
    <w:abstractNumId w:val="13"/>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TIzYzk3NTY3NmM0Y2Y1MDE5ZDA5MmRiMmY3YmUifQ=="/>
  </w:docVars>
  <w:rsids>
    <w:rsidRoot w:val="00B26442"/>
    <w:rsid w:val="0001478B"/>
    <w:rsid w:val="000827B9"/>
    <w:rsid w:val="0009264E"/>
    <w:rsid w:val="000A26C5"/>
    <w:rsid w:val="000A345D"/>
    <w:rsid w:val="000D46B4"/>
    <w:rsid w:val="000E4131"/>
    <w:rsid w:val="00121325"/>
    <w:rsid w:val="001322AC"/>
    <w:rsid w:val="00135A51"/>
    <w:rsid w:val="00144692"/>
    <w:rsid w:val="00146B9B"/>
    <w:rsid w:val="00153DFB"/>
    <w:rsid w:val="00183117"/>
    <w:rsid w:val="00200876"/>
    <w:rsid w:val="002406A7"/>
    <w:rsid w:val="00251958"/>
    <w:rsid w:val="00252185"/>
    <w:rsid w:val="00272799"/>
    <w:rsid w:val="00294E14"/>
    <w:rsid w:val="002B1710"/>
    <w:rsid w:val="002C668E"/>
    <w:rsid w:val="002E6291"/>
    <w:rsid w:val="00310534"/>
    <w:rsid w:val="00311A01"/>
    <w:rsid w:val="003220D1"/>
    <w:rsid w:val="0034202B"/>
    <w:rsid w:val="00342E20"/>
    <w:rsid w:val="003638E9"/>
    <w:rsid w:val="00366135"/>
    <w:rsid w:val="00375AEA"/>
    <w:rsid w:val="00377B24"/>
    <w:rsid w:val="00391E7B"/>
    <w:rsid w:val="00393124"/>
    <w:rsid w:val="003949BC"/>
    <w:rsid w:val="003C7C1B"/>
    <w:rsid w:val="003D4123"/>
    <w:rsid w:val="003E47C9"/>
    <w:rsid w:val="004108EA"/>
    <w:rsid w:val="00413DE5"/>
    <w:rsid w:val="004242D8"/>
    <w:rsid w:val="004605F1"/>
    <w:rsid w:val="0047510B"/>
    <w:rsid w:val="00481B36"/>
    <w:rsid w:val="00486896"/>
    <w:rsid w:val="00490888"/>
    <w:rsid w:val="00497F79"/>
    <w:rsid w:val="004B0635"/>
    <w:rsid w:val="004B4B0F"/>
    <w:rsid w:val="004F4919"/>
    <w:rsid w:val="004F51AD"/>
    <w:rsid w:val="00512379"/>
    <w:rsid w:val="00531BB9"/>
    <w:rsid w:val="005417F9"/>
    <w:rsid w:val="00567B1B"/>
    <w:rsid w:val="00573620"/>
    <w:rsid w:val="00577794"/>
    <w:rsid w:val="00586AD1"/>
    <w:rsid w:val="00592AFD"/>
    <w:rsid w:val="005B0F4B"/>
    <w:rsid w:val="005B4FAC"/>
    <w:rsid w:val="005D1B0D"/>
    <w:rsid w:val="005E786A"/>
    <w:rsid w:val="006078F4"/>
    <w:rsid w:val="006333DE"/>
    <w:rsid w:val="00637D93"/>
    <w:rsid w:val="006472F2"/>
    <w:rsid w:val="00685819"/>
    <w:rsid w:val="00692947"/>
    <w:rsid w:val="006935CB"/>
    <w:rsid w:val="00693E97"/>
    <w:rsid w:val="006A3EF6"/>
    <w:rsid w:val="006F127F"/>
    <w:rsid w:val="00702FBE"/>
    <w:rsid w:val="007032E7"/>
    <w:rsid w:val="00716C42"/>
    <w:rsid w:val="007318D5"/>
    <w:rsid w:val="00737E73"/>
    <w:rsid w:val="007B79E7"/>
    <w:rsid w:val="007C6EC8"/>
    <w:rsid w:val="007D6D22"/>
    <w:rsid w:val="007E3248"/>
    <w:rsid w:val="007E39DA"/>
    <w:rsid w:val="007E64E6"/>
    <w:rsid w:val="007E7C41"/>
    <w:rsid w:val="007F1A0E"/>
    <w:rsid w:val="007F2474"/>
    <w:rsid w:val="00801BF4"/>
    <w:rsid w:val="0082388A"/>
    <w:rsid w:val="00826EE1"/>
    <w:rsid w:val="00827F24"/>
    <w:rsid w:val="00870022"/>
    <w:rsid w:val="00880C15"/>
    <w:rsid w:val="00895CF1"/>
    <w:rsid w:val="0089769F"/>
    <w:rsid w:val="008A729E"/>
    <w:rsid w:val="009077F4"/>
    <w:rsid w:val="009352E0"/>
    <w:rsid w:val="00947F1A"/>
    <w:rsid w:val="00956A2C"/>
    <w:rsid w:val="009632B0"/>
    <w:rsid w:val="00965C1C"/>
    <w:rsid w:val="00987C19"/>
    <w:rsid w:val="009A4236"/>
    <w:rsid w:val="009D39C0"/>
    <w:rsid w:val="009E1B47"/>
    <w:rsid w:val="009E6EF9"/>
    <w:rsid w:val="009F0C4F"/>
    <w:rsid w:val="00A001AB"/>
    <w:rsid w:val="00A37CF7"/>
    <w:rsid w:val="00A55C57"/>
    <w:rsid w:val="00A73207"/>
    <w:rsid w:val="00A81A5E"/>
    <w:rsid w:val="00A81D22"/>
    <w:rsid w:val="00A93FB4"/>
    <w:rsid w:val="00A94D4D"/>
    <w:rsid w:val="00AB228A"/>
    <w:rsid w:val="00AB6628"/>
    <w:rsid w:val="00B26442"/>
    <w:rsid w:val="00B27727"/>
    <w:rsid w:val="00B42B7D"/>
    <w:rsid w:val="00B54B10"/>
    <w:rsid w:val="00B7684C"/>
    <w:rsid w:val="00B806F5"/>
    <w:rsid w:val="00BA52E3"/>
    <w:rsid w:val="00BC2D45"/>
    <w:rsid w:val="00BF7012"/>
    <w:rsid w:val="00C13482"/>
    <w:rsid w:val="00C42250"/>
    <w:rsid w:val="00C42729"/>
    <w:rsid w:val="00C46CEA"/>
    <w:rsid w:val="00C518FB"/>
    <w:rsid w:val="00C52E6D"/>
    <w:rsid w:val="00C53F6B"/>
    <w:rsid w:val="00C7373B"/>
    <w:rsid w:val="00C82C7D"/>
    <w:rsid w:val="00C861F1"/>
    <w:rsid w:val="00CA08C0"/>
    <w:rsid w:val="00CA1B16"/>
    <w:rsid w:val="00CF1711"/>
    <w:rsid w:val="00CF7992"/>
    <w:rsid w:val="00D0258D"/>
    <w:rsid w:val="00D03225"/>
    <w:rsid w:val="00D17837"/>
    <w:rsid w:val="00D27017"/>
    <w:rsid w:val="00D50E3B"/>
    <w:rsid w:val="00D54713"/>
    <w:rsid w:val="00D75F84"/>
    <w:rsid w:val="00D762C4"/>
    <w:rsid w:val="00D85F1D"/>
    <w:rsid w:val="00DB542D"/>
    <w:rsid w:val="00DF5F24"/>
    <w:rsid w:val="00DF78E2"/>
    <w:rsid w:val="00E13527"/>
    <w:rsid w:val="00E322B3"/>
    <w:rsid w:val="00E35F1F"/>
    <w:rsid w:val="00E6481F"/>
    <w:rsid w:val="00E734FF"/>
    <w:rsid w:val="00E930A8"/>
    <w:rsid w:val="00E94B76"/>
    <w:rsid w:val="00E96555"/>
    <w:rsid w:val="00EA5870"/>
    <w:rsid w:val="00ED18B4"/>
    <w:rsid w:val="00EE70E6"/>
    <w:rsid w:val="00F057FE"/>
    <w:rsid w:val="00F2083C"/>
    <w:rsid w:val="00F32A7A"/>
    <w:rsid w:val="00F44BEF"/>
    <w:rsid w:val="00F94651"/>
    <w:rsid w:val="00FA6905"/>
    <w:rsid w:val="00FD2587"/>
    <w:rsid w:val="03271B39"/>
    <w:rsid w:val="04F97973"/>
    <w:rsid w:val="050B6588"/>
    <w:rsid w:val="05681A7F"/>
    <w:rsid w:val="078A7013"/>
    <w:rsid w:val="0915466C"/>
    <w:rsid w:val="091E39C4"/>
    <w:rsid w:val="0A5A298E"/>
    <w:rsid w:val="0B0D77E0"/>
    <w:rsid w:val="0BF01E30"/>
    <w:rsid w:val="0C126BE9"/>
    <w:rsid w:val="0CAF3F77"/>
    <w:rsid w:val="0E2F3780"/>
    <w:rsid w:val="10C04E65"/>
    <w:rsid w:val="10E30B54"/>
    <w:rsid w:val="119C142F"/>
    <w:rsid w:val="11A620B8"/>
    <w:rsid w:val="120F29C8"/>
    <w:rsid w:val="12515B9E"/>
    <w:rsid w:val="12571246"/>
    <w:rsid w:val="12A04CA7"/>
    <w:rsid w:val="12B72298"/>
    <w:rsid w:val="1485034D"/>
    <w:rsid w:val="14C61AD4"/>
    <w:rsid w:val="16691AFB"/>
    <w:rsid w:val="176D73C9"/>
    <w:rsid w:val="17986FC5"/>
    <w:rsid w:val="188E4177"/>
    <w:rsid w:val="1A2F5DB0"/>
    <w:rsid w:val="1AB312F0"/>
    <w:rsid w:val="1C405A09"/>
    <w:rsid w:val="1CEF49DE"/>
    <w:rsid w:val="1DD261D8"/>
    <w:rsid w:val="1FD74E07"/>
    <w:rsid w:val="2096129C"/>
    <w:rsid w:val="210F504D"/>
    <w:rsid w:val="218D6417"/>
    <w:rsid w:val="22EA6439"/>
    <w:rsid w:val="246E2674"/>
    <w:rsid w:val="24A06393"/>
    <w:rsid w:val="24AA08B4"/>
    <w:rsid w:val="25B2690D"/>
    <w:rsid w:val="26381486"/>
    <w:rsid w:val="2898212B"/>
    <w:rsid w:val="296D5007"/>
    <w:rsid w:val="296F59CC"/>
    <w:rsid w:val="2A204540"/>
    <w:rsid w:val="2A565257"/>
    <w:rsid w:val="2AF6041A"/>
    <w:rsid w:val="2BA236B1"/>
    <w:rsid w:val="2C0801D8"/>
    <w:rsid w:val="2E8C6D3B"/>
    <w:rsid w:val="2EF2422B"/>
    <w:rsid w:val="2F37233F"/>
    <w:rsid w:val="308907DB"/>
    <w:rsid w:val="30AB29B7"/>
    <w:rsid w:val="30E402A4"/>
    <w:rsid w:val="32351DCD"/>
    <w:rsid w:val="329B5168"/>
    <w:rsid w:val="33246CBD"/>
    <w:rsid w:val="33B20821"/>
    <w:rsid w:val="372A303C"/>
    <w:rsid w:val="3998453A"/>
    <w:rsid w:val="3AA60379"/>
    <w:rsid w:val="3D9B1CEB"/>
    <w:rsid w:val="3DDB0458"/>
    <w:rsid w:val="3E001C2D"/>
    <w:rsid w:val="3EBD02FB"/>
    <w:rsid w:val="3F623C81"/>
    <w:rsid w:val="3F861F3F"/>
    <w:rsid w:val="3FD64855"/>
    <w:rsid w:val="40AF61D9"/>
    <w:rsid w:val="40E85247"/>
    <w:rsid w:val="432E6E0B"/>
    <w:rsid w:val="45D0295B"/>
    <w:rsid w:val="46740E25"/>
    <w:rsid w:val="473531B0"/>
    <w:rsid w:val="482C6108"/>
    <w:rsid w:val="4AA61991"/>
    <w:rsid w:val="4AAE7501"/>
    <w:rsid w:val="4D797952"/>
    <w:rsid w:val="4E034F21"/>
    <w:rsid w:val="4F5543EF"/>
    <w:rsid w:val="50DC0D3D"/>
    <w:rsid w:val="516C5036"/>
    <w:rsid w:val="53290BBC"/>
    <w:rsid w:val="53BF452D"/>
    <w:rsid w:val="53DD2C05"/>
    <w:rsid w:val="55CA1171"/>
    <w:rsid w:val="55DE504C"/>
    <w:rsid w:val="55FC3817"/>
    <w:rsid w:val="56587D10"/>
    <w:rsid w:val="57A0601D"/>
    <w:rsid w:val="585C78A6"/>
    <w:rsid w:val="5B4F7359"/>
    <w:rsid w:val="5D502794"/>
    <w:rsid w:val="5EBF2421"/>
    <w:rsid w:val="609057F3"/>
    <w:rsid w:val="614A28CC"/>
    <w:rsid w:val="62C87C26"/>
    <w:rsid w:val="64E7518F"/>
    <w:rsid w:val="66643236"/>
    <w:rsid w:val="677376B1"/>
    <w:rsid w:val="677752D9"/>
    <w:rsid w:val="69937B96"/>
    <w:rsid w:val="6F144536"/>
    <w:rsid w:val="6FEE1FCA"/>
    <w:rsid w:val="70D6520E"/>
    <w:rsid w:val="736E6F7E"/>
    <w:rsid w:val="73C643DF"/>
    <w:rsid w:val="74C011B7"/>
    <w:rsid w:val="75582A40"/>
    <w:rsid w:val="75D731A7"/>
    <w:rsid w:val="78D71C3A"/>
    <w:rsid w:val="7A041F31"/>
    <w:rsid w:val="7A5B64AE"/>
    <w:rsid w:val="7B187EFC"/>
    <w:rsid w:val="7E92141E"/>
    <w:rsid w:val="7F1431BC"/>
    <w:rsid w:val="7FE6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2"/>
      <w:szCs w:val="22"/>
      <w:lang w:val="en-US" w:eastAsia="zh-CN" w:bidi="ar-SA"/>
    </w:rPr>
  </w:style>
  <w:style w:type="paragraph" w:styleId="3">
    <w:name w:val="heading 1"/>
    <w:basedOn w:val="1"/>
    <w:next w:val="1"/>
    <w:link w:val="45"/>
    <w:autoRedefine/>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4">
    <w:name w:val="heading 2"/>
    <w:basedOn w:val="1"/>
    <w:next w:val="1"/>
    <w:link w:val="46"/>
    <w:unhideWhenUsed/>
    <w:qFormat/>
    <w:uiPriority w:val="9"/>
    <w:pPr>
      <w:keepNext/>
      <w:keepLines/>
      <w:spacing w:before="40"/>
      <w:outlineLvl w:val="1"/>
    </w:pPr>
    <w:rPr>
      <w:rFonts w:asciiTheme="majorHAnsi" w:hAnsiTheme="majorHAnsi" w:eastAsiaTheme="majorEastAsia" w:cstheme="majorBidi"/>
      <w:color w:val="2F5597" w:themeColor="accent1" w:themeShade="BF"/>
      <w:sz w:val="28"/>
      <w:szCs w:val="28"/>
    </w:rPr>
  </w:style>
  <w:style w:type="paragraph" w:styleId="5">
    <w:name w:val="heading 3"/>
    <w:basedOn w:val="1"/>
    <w:next w:val="1"/>
    <w:link w:val="47"/>
    <w:autoRedefine/>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paragraph" w:styleId="2">
    <w:name w:val="heading 4"/>
    <w:basedOn w:val="1"/>
    <w:next w:val="1"/>
    <w:link w:val="44"/>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48"/>
    <w:autoRedefine/>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49"/>
    <w:autoRedefine/>
    <w:semiHidden/>
    <w:unhideWhenUsed/>
    <w:qFormat/>
    <w:uiPriority w:val="9"/>
    <w:pPr>
      <w:keepNext/>
      <w:keepLines/>
      <w:spacing w:before="4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50"/>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51"/>
    <w:autoRedefine/>
    <w:semiHidden/>
    <w:unhideWhenUsed/>
    <w:qFormat/>
    <w:uiPriority w:val="9"/>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52"/>
    <w:autoRedefine/>
    <w:semiHidden/>
    <w:unhideWhenUsed/>
    <w:qFormat/>
    <w:uiPriority w:val="9"/>
    <w:pPr>
      <w:keepNext/>
      <w:keepLines/>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37">
    <w:name w:val="Default Paragraph Font"/>
    <w:autoRedefine/>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260"/>
    </w:pPr>
    <w:rPr>
      <w:rFonts w:eastAsiaTheme="minorHAnsi"/>
      <w:sz w:val="18"/>
      <w:szCs w:val="18"/>
    </w:rPr>
  </w:style>
  <w:style w:type="paragraph" w:styleId="12">
    <w:name w:val="Normal Indent"/>
    <w:basedOn w:val="1"/>
    <w:autoRedefine/>
    <w:qFormat/>
    <w:uiPriority w:val="0"/>
    <w:pPr>
      <w:ind w:firstLine="420"/>
    </w:pPr>
    <w:rPr>
      <w:rFonts w:ascii="Times New Roman" w:hAnsi="Times New Roman" w:eastAsia="宋体" w:cs="Times New Roman"/>
      <w:sz w:val="24"/>
      <w:szCs w:val="20"/>
    </w:rPr>
  </w:style>
  <w:style w:type="paragraph" w:styleId="13">
    <w:name w:val="caption"/>
    <w:basedOn w:val="1"/>
    <w:next w:val="1"/>
    <w:autoRedefine/>
    <w:semiHidden/>
    <w:unhideWhenUsed/>
    <w:qFormat/>
    <w:uiPriority w:val="35"/>
    <w:pPr>
      <w:spacing w:after="200"/>
    </w:pPr>
    <w:rPr>
      <w:i/>
      <w:iCs/>
      <w:color w:val="44546A" w:themeColor="text2"/>
      <w:sz w:val="18"/>
      <w:szCs w:val="18"/>
      <w14:textFill>
        <w14:solidFill>
          <w14:schemeClr w14:val="tx2"/>
        </w14:solidFill>
      </w14:textFill>
    </w:rPr>
  </w:style>
  <w:style w:type="paragraph" w:styleId="14">
    <w:name w:val="Document Map"/>
    <w:basedOn w:val="1"/>
    <w:link w:val="53"/>
    <w:autoRedefine/>
    <w:semiHidden/>
    <w:qFormat/>
    <w:uiPriority w:val="0"/>
    <w:pPr>
      <w:shd w:val="clear" w:color="auto" w:fill="000080"/>
    </w:pPr>
    <w:rPr>
      <w:rFonts w:ascii="Times New Roman" w:hAnsi="Times New Roman" w:eastAsia="宋体" w:cs="Times New Roman"/>
      <w:szCs w:val="24"/>
    </w:rPr>
  </w:style>
  <w:style w:type="paragraph" w:styleId="15">
    <w:name w:val="annotation text"/>
    <w:basedOn w:val="1"/>
    <w:link w:val="54"/>
    <w:autoRedefine/>
    <w:unhideWhenUsed/>
    <w:qFormat/>
    <w:uiPriority w:val="0"/>
  </w:style>
  <w:style w:type="paragraph" w:styleId="16">
    <w:name w:val="Body Text"/>
    <w:basedOn w:val="1"/>
    <w:link w:val="55"/>
    <w:autoRedefine/>
    <w:qFormat/>
    <w:uiPriority w:val="0"/>
    <w:rPr>
      <w:rFonts w:eastAsia="楷体_GB2312"/>
      <w:sz w:val="28"/>
      <w:szCs w:val="24"/>
    </w:rPr>
  </w:style>
  <w:style w:type="paragraph" w:styleId="17">
    <w:name w:val="Body Text Indent"/>
    <w:basedOn w:val="1"/>
    <w:link w:val="56"/>
    <w:autoRedefine/>
    <w:qFormat/>
    <w:uiPriority w:val="0"/>
    <w:pPr>
      <w:spacing w:after="120"/>
      <w:ind w:left="420" w:leftChars="200"/>
    </w:pPr>
    <w:rPr>
      <w:rFonts w:ascii="Times New Roman" w:hAnsi="Times New Roman" w:eastAsia="宋体" w:cs="Times New Roman"/>
      <w:szCs w:val="24"/>
    </w:rPr>
  </w:style>
  <w:style w:type="paragraph" w:styleId="18">
    <w:name w:val="toc 5"/>
    <w:basedOn w:val="1"/>
    <w:next w:val="1"/>
    <w:autoRedefine/>
    <w:unhideWhenUsed/>
    <w:qFormat/>
    <w:uiPriority w:val="39"/>
    <w:pPr>
      <w:ind w:left="840"/>
    </w:pPr>
    <w:rPr>
      <w:rFonts w:eastAsiaTheme="minorHAnsi"/>
      <w:sz w:val="18"/>
      <w:szCs w:val="18"/>
    </w:rPr>
  </w:style>
  <w:style w:type="paragraph" w:styleId="19">
    <w:name w:val="toc 3"/>
    <w:basedOn w:val="1"/>
    <w:next w:val="1"/>
    <w:link w:val="57"/>
    <w:autoRedefine/>
    <w:unhideWhenUsed/>
    <w:qFormat/>
    <w:uiPriority w:val="39"/>
    <w:pPr>
      <w:ind w:left="420"/>
    </w:pPr>
    <w:rPr>
      <w:rFonts w:eastAsiaTheme="minorHAnsi"/>
      <w:i/>
      <w:iCs/>
      <w:sz w:val="20"/>
      <w:szCs w:val="20"/>
    </w:rPr>
  </w:style>
  <w:style w:type="paragraph" w:styleId="20">
    <w:name w:val="toc 8"/>
    <w:basedOn w:val="1"/>
    <w:next w:val="1"/>
    <w:unhideWhenUsed/>
    <w:qFormat/>
    <w:uiPriority w:val="39"/>
    <w:pPr>
      <w:ind w:left="1470"/>
    </w:pPr>
    <w:rPr>
      <w:rFonts w:eastAsiaTheme="minorHAnsi"/>
      <w:sz w:val="18"/>
      <w:szCs w:val="18"/>
    </w:rPr>
  </w:style>
  <w:style w:type="paragraph" w:styleId="21">
    <w:name w:val="Date"/>
    <w:basedOn w:val="1"/>
    <w:next w:val="1"/>
    <w:link w:val="58"/>
    <w:unhideWhenUsed/>
    <w:qFormat/>
    <w:uiPriority w:val="0"/>
    <w:pPr>
      <w:ind w:left="100" w:leftChars="2500"/>
    </w:pPr>
  </w:style>
  <w:style w:type="paragraph" w:styleId="22">
    <w:name w:val="Balloon Text"/>
    <w:basedOn w:val="1"/>
    <w:link w:val="59"/>
    <w:autoRedefine/>
    <w:unhideWhenUsed/>
    <w:qFormat/>
    <w:uiPriority w:val="99"/>
    <w:rPr>
      <w:sz w:val="18"/>
      <w:szCs w:val="18"/>
    </w:rPr>
  </w:style>
  <w:style w:type="paragraph" w:styleId="23">
    <w:name w:val="footer"/>
    <w:basedOn w:val="1"/>
    <w:link w:val="60"/>
    <w:autoRedefine/>
    <w:unhideWhenUsed/>
    <w:qFormat/>
    <w:uiPriority w:val="0"/>
    <w:pPr>
      <w:tabs>
        <w:tab w:val="center" w:pos="4153"/>
        <w:tab w:val="right" w:pos="8306"/>
      </w:tabs>
      <w:snapToGrid w:val="0"/>
    </w:pPr>
    <w:rPr>
      <w:sz w:val="18"/>
      <w:szCs w:val="18"/>
    </w:rPr>
  </w:style>
  <w:style w:type="paragraph" w:styleId="24">
    <w:name w:val="header"/>
    <w:basedOn w:val="1"/>
    <w:link w:val="6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pPr>
      <w:spacing w:before="120" w:after="120"/>
    </w:pPr>
    <w:rPr>
      <w:rFonts w:eastAsiaTheme="minorHAnsi"/>
      <w:b/>
      <w:bCs/>
      <w:caps/>
      <w:sz w:val="20"/>
      <w:szCs w:val="20"/>
    </w:rPr>
  </w:style>
  <w:style w:type="paragraph" w:styleId="26">
    <w:name w:val="toc 4"/>
    <w:basedOn w:val="1"/>
    <w:next w:val="1"/>
    <w:autoRedefine/>
    <w:unhideWhenUsed/>
    <w:qFormat/>
    <w:uiPriority w:val="39"/>
    <w:pPr>
      <w:ind w:left="630"/>
    </w:pPr>
    <w:rPr>
      <w:rFonts w:eastAsiaTheme="minorHAnsi"/>
      <w:sz w:val="18"/>
      <w:szCs w:val="18"/>
    </w:rPr>
  </w:style>
  <w:style w:type="paragraph" w:styleId="27">
    <w:name w:val="Subtitle"/>
    <w:basedOn w:val="1"/>
    <w:next w:val="1"/>
    <w:link w:val="93"/>
    <w:autoRedefine/>
    <w:qFormat/>
    <w:uiPriority w:val="11"/>
    <w:rPr>
      <w:color w:val="595959" w:themeColor="text1" w:themeTint="A6"/>
      <w:spacing w:val="15"/>
      <w14:textFill>
        <w14:solidFill>
          <w14:schemeClr w14:val="tx1">
            <w14:lumMod w14:val="65000"/>
            <w14:lumOff w14:val="35000"/>
          </w14:schemeClr>
        </w14:solidFill>
      </w14:textFill>
    </w:rPr>
  </w:style>
  <w:style w:type="paragraph" w:styleId="28">
    <w:name w:val="toc 6"/>
    <w:basedOn w:val="1"/>
    <w:next w:val="1"/>
    <w:autoRedefine/>
    <w:unhideWhenUsed/>
    <w:qFormat/>
    <w:uiPriority w:val="39"/>
    <w:pPr>
      <w:ind w:left="1050"/>
    </w:pPr>
    <w:rPr>
      <w:rFonts w:eastAsiaTheme="minorHAnsi"/>
      <w:sz w:val="18"/>
      <w:szCs w:val="18"/>
    </w:rPr>
  </w:style>
  <w:style w:type="paragraph" w:styleId="29">
    <w:name w:val="toc 2"/>
    <w:basedOn w:val="1"/>
    <w:next w:val="1"/>
    <w:autoRedefine/>
    <w:unhideWhenUsed/>
    <w:qFormat/>
    <w:uiPriority w:val="39"/>
    <w:pPr>
      <w:tabs>
        <w:tab w:val="right" w:leader="dot" w:pos="9771"/>
      </w:tabs>
      <w:snapToGrid w:val="0"/>
      <w:spacing w:line="360" w:lineRule="auto"/>
      <w:ind w:left="210"/>
    </w:pPr>
    <w:rPr>
      <w:rFonts w:ascii="幼圆" w:hAnsi="思源宋体 CN Light" w:eastAsia="幼圆"/>
      <w:b/>
      <w:bCs/>
      <w:smallCaps/>
      <w:color w:val="000000" w:themeColor="text1"/>
      <w:sz w:val="20"/>
      <w:szCs w:val="20"/>
      <w14:textFill>
        <w14:solidFill>
          <w14:schemeClr w14:val="tx1"/>
        </w14:solidFill>
      </w14:textFill>
    </w:rPr>
  </w:style>
  <w:style w:type="paragraph" w:styleId="30">
    <w:name w:val="toc 9"/>
    <w:basedOn w:val="1"/>
    <w:next w:val="1"/>
    <w:autoRedefine/>
    <w:unhideWhenUsed/>
    <w:qFormat/>
    <w:uiPriority w:val="39"/>
    <w:pPr>
      <w:ind w:left="1680"/>
    </w:pPr>
    <w:rPr>
      <w:rFonts w:eastAsiaTheme="minorHAnsi"/>
      <w:sz w:val="18"/>
      <w:szCs w:val="18"/>
    </w:rPr>
  </w:style>
  <w:style w:type="paragraph" w:styleId="31">
    <w:name w:val="Normal (Web)"/>
    <w:basedOn w:val="1"/>
    <w:autoRedefine/>
    <w:qFormat/>
    <w:uiPriority w:val="99"/>
    <w:pPr>
      <w:spacing w:before="100" w:beforeAutospacing="1" w:after="100" w:afterAutospacing="1"/>
    </w:pPr>
    <w:rPr>
      <w:rFonts w:ascii="宋体" w:hAnsi="宋体" w:eastAsia="宋体" w:cs="Times New Roman"/>
      <w:color w:val="000000"/>
      <w:sz w:val="24"/>
      <w:szCs w:val="24"/>
    </w:rPr>
  </w:style>
  <w:style w:type="paragraph" w:styleId="32">
    <w:name w:val="Title"/>
    <w:basedOn w:val="1"/>
    <w:next w:val="1"/>
    <w:link w:val="92"/>
    <w:autoRedefine/>
    <w:qFormat/>
    <w:uiPriority w:val="10"/>
    <w:pPr>
      <w:contextualSpacing/>
    </w:pPr>
    <w:rPr>
      <w:rFonts w:asciiTheme="majorHAnsi" w:hAnsiTheme="majorHAnsi" w:eastAsiaTheme="majorEastAsia" w:cstheme="majorBidi"/>
      <w:spacing w:val="-10"/>
      <w:sz w:val="56"/>
      <w:szCs w:val="56"/>
    </w:rPr>
  </w:style>
  <w:style w:type="paragraph" w:styleId="33">
    <w:name w:val="annotation subject"/>
    <w:basedOn w:val="15"/>
    <w:next w:val="15"/>
    <w:link w:val="62"/>
    <w:autoRedefine/>
    <w:qFormat/>
    <w:uiPriority w:val="0"/>
    <w:rPr>
      <w:rFonts w:ascii="Times New Roman" w:hAnsi="Times New Roman" w:eastAsia="宋体" w:cs="Times New Roman"/>
      <w:b/>
      <w:bCs/>
      <w:szCs w:val="24"/>
    </w:rPr>
  </w:style>
  <w:style w:type="paragraph" w:styleId="34">
    <w:name w:val="Body Text First Indent 2"/>
    <w:basedOn w:val="17"/>
    <w:link w:val="63"/>
    <w:autoRedefine/>
    <w:qFormat/>
    <w:uiPriority w:val="0"/>
    <w:pPr>
      <w:ind w:firstLine="420" w:firstLineChars="200"/>
    </w:p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b/>
      <w:bCs/>
      <w:color w:val="auto"/>
    </w:rPr>
  </w:style>
  <w:style w:type="character" w:styleId="39">
    <w:name w:val="page number"/>
    <w:basedOn w:val="37"/>
    <w:autoRedefine/>
    <w:qFormat/>
    <w:uiPriority w:val="0"/>
  </w:style>
  <w:style w:type="character" w:styleId="40">
    <w:name w:val="FollowedHyperlink"/>
    <w:autoRedefine/>
    <w:qFormat/>
    <w:uiPriority w:val="0"/>
    <w:rPr>
      <w:color w:val="800080"/>
      <w:u w:val="single"/>
    </w:rPr>
  </w:style>
  <w:style w:type="character" w:styleId="41">
    <w:name w:val="Emphasis"/>
    <w:basedOn w:val="37"/>
    <w:autoRedefine/>
    <w:qFormat/>
    <w:uiPriority w:val="20"/>
    <w:rPr>
      <w:i/>
      <w:iCs/>
      <w:color w:val="auto"/>
    </w:rPr>
  </w:style>
  <w:style w:type="character" w:styleId="42">
    <w:name w:val="Hyperlink"/>
    <w:basedOn w:val="37"/>
    <w:autoRedefine/>
    <w:unhideWhenUsed/>
    <w:qFormat/>
    <w:uiPriority w:val="99"/>
    <w:rPr>
      <w:color w:val="0563C1" w:themeColor="hyperlink"/>
      <w:u w:val="single"/>
      <w14:textFill>
        <w14:solidFill>
          <w14:schemeClr w14:val="hlink"/>
        </w14:solidFill>
      </w14:textFill>
    </w:rPr>
  </w:style>
  <w:style w:type="character" w:styleId="43">
    <w:name w:val="annotation reference"/>
    <w:basedOn w:val="37"/>
    <w:unhideWhenUsed/>
    <w:qFormat/>
    <w:uiPriority w:val="0"/>
    <w:rPr>
      <w:sz w:val="21"/>
      <w:szCs w:val="21"/>
    </w:rPr>
  </w:style>
  <w:style w:type="character" w:customStyle="1" w:styleId="44">
    <w:name w:val="标题 4 字符"/>
    <w:basedOn w:val="37"/>
    <w:link w:val="2"/>
    <w:autoRedefine/>
    <w:qFormat/>
    <w:uiPriority w:val="9"/>
    <w:rPr>
      <w:rFonts w:asciiTheme="majorHAnsi" w:hAnsiTheme="majorHAnsi" w:eastAsiaTheme="majorEastAsia" w:cstheme="majorBidi"/>
      <w:i/>
      <w:iCs/>
      <w:color w:val="2F5597" w:themeColor="accent1" w:themeShade="BF"/>
    </w:rPr>
  </w:style>
  <w:style w:type="character" w:customStyle="1" w:styleId="45">
    <w:name w:val="标题 1 字符"/>
    <w:basedOn w:val="37"/>
    <w:link w:val="3"/>
    <w:autoRedefine/>
    <w:qFormat/>
    <w:uiPriority w:val="9"/>
    <w:rPr>
      <w:rFonts w:asciiTheme="majorHAnsi" w:hAnsiTheme="majorHAnsi" w:eastAsiaTheme="majorEastAsia" w:cstheme="majorBidi"/>
      <w:color w:val="2F5597" w:themeColor="accent1" w:themeShade="BF"/>
      <w:sz w:val="32"/>
      <w:szCs w:val="32"/>
    </w:rPr>
  </w:style>
  <w:style w:type="character" w:customStyle="1" w:styleId="46">
    <w:name w:val="标题 2 字符"/>
    <w:basedOn w:val="37"/>
    <w:link w:val="4"/>
    <w:autoRedefine/>
    <w:qFormat/>
    <w:uiPriority w:val="9"/>
    <w:rPr>
      <w:rFonts w:asciiTheme="majorHAnsi" w:hAnsiTheme="majorHAnsi" w:eastAsiaTheme="majorEastAsia" w:cstheme="majorBidi"/>
      <w:color w:val="2F5597" w:themeColor="accent1" w:themeShade="BF"/>
      <w:sz w:val="28"/>
      <w:szCs w:val="28"/>
    </w:rPr>
  </w:style>
  <w:style w:type="character" w:customStyle="1" w:styleId="47">
    <w:name w:val="标题 3 字符"/>
    <w:basedOn w:val="37"/>
    <w:link w:val="5"/>
    <w:autoRedefine/>
    <w:qFormat/>
    <w:uiPriority w:val="9"/>
    <w:rPr>
      <w:rFonts w:asciiTheme="majorHAnsi" w:hAnsiTheme="majorHAnsi" w:eastAsiaTheme="majorEastAsia" w:cstheme="majorBidi"/>
      <w:color w:val="203864" w:themeColor="accent1" w:themeShade="80"/>
      <w:sz w:val="24"/>
      <w:szCs w:val="24"/>
    </w:rPr>
  </w:style>
  <w:style w:type="character" w:customStyle="1" w:styleId="48">
    <w:name w:val="标题 5 字符"/>
    <w:basedOn w:val="37"/>
    <w:link w:val="6"/>
    <w:autoRedefine/>
    <w:semiHidden/>
    <w:qFormat/>
    <w:uiPriority w:val="9"/>
    <w:rPr>
      <w:rFonts w:asciiTheme="majorHAnsi" w:hAnsiTheme="majorHAnsi" w:eastAsiaTheme="majorEastAsia" w:cstheme="majorBidi"/>
      <w:color w:val="2F5597" w:themeColor="accent1" w:themeShade="BF"/>
    </w:rPr>
  </w:style>
  <w:style w:type="character" w:customStyle="1" w:styleId="49">
    <w:name w:val="标题 6 字符"/>
    <w:basedOn w:val="37"/>
    <w:link w:val="7"/>
    <w:autoRedefine/>
    <w:semiHidden/>
    <w:qFormat/>
    <w:uiPriority w:val="9"/>
    <w:rPr>
      <w:rFonts w:asciiTheme="majorHAnsi" w:hAnsiTheme="majorHAnsi" w:eastAsiaTheme="majorEastAsia" w:cstheme="majorBidi"/>
      <w:color w:val="203864" w:themeColor="accent1" w:themeShade="80"/>
    </w:rPr>
  </w:style>
  <w:style w:type="character" w:customStyle="1" w:styleId="50">
    <w:name w:val="标题 7 字符"/>
    <w:basedOn w:val="37"/>
    <w:link w:val="8"/>
    <w:autoRedefine/>
    <w:semiHidden/>
    <w:qFormat/>
    <w:uiPriority w:val="9"/>
    <w:rPr>
      <w:rFonts w:asciiTheme="majorHAnsi" w:hAnsiTheme="majorHAnsi" w:eastAsiaTheme="majorEastAsia" w:cstheme="majorBidi"/>
      <w:i/>
      <w:iCs/>
      <w:color w:val="203864" w:themeColor="accent1" w:themeShade="80"/>
    </w:rPr>
  </w:style>
  <w:style w:type="character" w:customStyle="1" w:styleId="51">
    <w:name w:val="标题 8 字符"/>
    <w:basedOn w:val="37"/>
    <w:link w:val="9"/>
    <w:autoRedefine/>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52">
    <w:name w:val="标题 9 字符"/>
    <w:basedOn w:val="37"/>
    <w:link w:val="10"/>
    <w:autoRedefine/>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53">
    <w:name w:val="文档结构图 字符"/>
    <w:basedOn w:val="37"/>
    <w:link w:val="14"/>
    <w:autoRedefine/>
    <w:semiHidden/>
    <w:qFormat/>
    <w:uiPriority w:val="0"/>
    <w:rPr>
      <w:kern w:val="2"/>
      <w:sz w:val="21"/>
      <w:szCs w:val="24"/>
      <w:shd w:val="clear" w:color="auto" w:fill="000080"/>
    </w:rPr>
  </w:style>
  <w:style w:type="character" w:customStyle="1" w:styleId="54">
    <w:name w:val="批注文字 字符"/>
    <w:link w:val="15"/>
    <w:autoRedefine/>
    <w:qFormat/>
    <w:uiPriority w:val="0"/>
    <w:rPr>
      <w:rFonts w:asciiTheme="minorHAnsi" w:hAnsiTheme="minorHAnsi" w:eastAsiaTheme="minorEastAsia" w:cstheme="minorBidi"/>
      <w:kern w:val="2"/>
      <w:sz w:val="21"/>
      <w:szCs w:val="22"/>
    </w:rPr>
  </w:style>
  <w:style w:type="character" w:customStyle="1" w:styleId="55">
    <w:name w:val="正文文本 字符"/>
    <w:link w:val="16"/>
    <w:autoRedefine/>
    <w:qFormat/>
    <w:uiPriority w:val="0"/>
    <w:rPr>
      <w:rFonts w:eastAsia="楷体_GB2312"/>
      <w:sz w:val="28"/>
      <w:szCs w:val="24"/>
    </w:rPr>
  </w:style>
  <w:style w:type="character" w:customStyle="1" w:styleId="56">
    <w:name w:val="正文文本缩进 字符"/>
    <w:basedOn w:val="37"/>
    <w:link w:val="17"/>
    <w:autoRedefine/>
    <w:qFormat/>
    <w:uiPriority w:val="0"/>
    <w:rPr>
      <w:kern w:val="2"/>
      <w:sz w:val="21"/>
      <w:szCs w:val="24"/>
    </w:rPr>
  </w:style>
  <w:style w:type="character" w:customStyle="1" w:styleId="57">
    <w:name w:val="TOC 3 字符"/>
    <w:link w:val="19"/>
    <w:autoRedefine/>
    <w:qFormat/>
    <w:uiPriority w:val="39"/>
    <w:rPr>
      <w:rFonts w:asciiTheme="minorHAnsi" w:hAnsiTheme="minorHAnsi" w:eastAsiaTheme="minorHAnsi" w:cstheme="minorBidi"/>
      <w:i/>
      <w:iCs/>
      <w:kern w:val="2"/>
    </w:rPr>
  </w:style>
  <w:style w:type="character" w:customStyle="1" w:styleId="58">
    <w:name w:val="日期 字符"/>
    <w:basedOn w:val="37"/>
    <w:link w:val="21"/>
    <w:autoRedefine/>
    <w:qFormat/>
    <w:uiPriority w:val="0"/>
  </w:style>
  <w:style w:type="character" w:customStyle="1" w:styleId="59">
    <w:name w:val="批注框文本 字符"/>
    <w:basedOn w:val="37"/>
    <w:link w:val="22"/>
    <w:autoRedefine/>
    <w:qFormat/>
    <w:uiPriority w:val="99"/>
    <w:rPr>
      <w:rFonts w:asciiTheme="minorHAnsi" w:hAnsiTheme="minorHAnsi" w:eastAsiaTheme="minorEastAsia" w:cstheme="minorBidi"/>
      <w:kern w:val="2"/>
      <w:sz w:val="18"/>
      <w:szCs w:val="18"/>
    </w:rPr>
  </w:style>
  <w:style w:type="character" w:customStyle="1" w:styleId="60">
    <w:name w:val="页脚 字符"/>
    <w:basedOn w:val="37"/>
    <w:link w:val="23"/>
    <w:autoRedefine/>
    <w:qFormat/>
    <w:uiPriority w:val="0"/>
    <w:rPr>
      <w:sz w:val="18"/>
      <w:szCs w:val="18"/>
    </w:rPr>
  </w:style>
  <w:style w:type="character" w:customStyle="1" w:styleId="61">
    <w:name w:val="页眉 字符"/>
    <w:basedOn w:val="37"/>
    <w:link w:val="24"/>
    <w:autoRedefine/>
    <w:qFormat/>
    <w:uiPriority w:val="0"/>
    <w:rPr>
      <w:sz w:val="18"/>
      <w:szCs w:val="18"/>
    </w:rPr>
  </w:style>
  <w:style w:type="character" w:customStyle="1" w:styleId="62">
    <w:name w:val="批注主题 字符"/>
    <w:basedOn w:val="54"/>
    <w:link w:val="33"/>
    <w:autoRedefine/>
    <w:qFormat/>
    <w:uiPriority w:val="0"/>
    <w:rPr>
      <w:rFonts w:asciiTheme="minorHAnsi" w:hAnsiTheme="minorHAnsi" w:eastAsiaTheme="minorEastAsia" w:cstheme="minorBidi"/>
      <w:b/>
      <w:bCs/>
      <w:kern w:val="2"/>
      <w:sz w:val="21"/>
      <w:szCs w:val="24"/>
    </w:rPr>
  </w:style>
  <w:style w:type="character" w:customStyle="1" w:styleId="63">
    <w:name w:val="正文文本首行缩进 2 字符"/>
    <w:basedOn w:val="56"/>
    <w:link w:val="34"/>
    <w:autoRedefine/>
    <w:qFormat/>
    <w:uiPriority w:val="0"/>
    <w:rPr>
      <w:kern w:val="2"/>
      <w:sz w:val="21"/>
      <w:szCs w:val="24"/>
    </w:rPr>
  </w:style>
  <w:style w:type="paragraph" w:styleId="64">
    <w:name w:val="List Paragraph"/>
    <w:basedOn w:val="1"/>
    <w:link w:val="65"/>
    <w:autoRedefine/>
    <w:qFormat/>
    <w:uiPriority w:val="34"/>
    <w:pPr>
      <w:ind w:firstLine="420" w:firstLineChars="200"/>
    </w:pPr>
  </w:style>
  <w:style w:type="character" w:customStyle="1" w:styleId="65">
    <w:name w:val="列表段落 字符"/>
    <w:link w:val="64"/>
    <w:autoRedefine/>
    <w:qFormat/>
    <w:locked/>
    <w:uiPriority w:val="34"/>
  </w:style>
  <w:style w:type="paragraph" w:customStyle="1" w:styleId="66">
    <w:name w:val="4正文"/>
    <w:link w:val="67"/>
    <w:autoRedefine/>
    <w:qFormat/>
    <w:uiPriority w:val="0"/>
    <w:pPr>
      <w:spacing w:line="360" w:lineRule="auto"/>
      <w:ind w:firstLine="200" w:firstLineChars="200"/>
    </w:pPr>
    <w:rPr>
      <w:rFonts w:asciiTheme="minorHAnsi" w:hAnsiTheme="minorHAnsi" w:eastAsiaTheme="minorEastAsia" w:cstheme="minorBidi"/>
      <w:kern w:val="2"/>
      <w:sz w:val="21"/>
      <w:szCs w:val="22"/>
      <w:lang w:val="en-US" w:eastAsia="zh-CN" w:bidi="ar-SA"/>
    </w:rPr>
  </w:style>
  <w:style w:type="character" w:customStyle="1" w:styleId="67">
    <w:name w:val="4正文 Char"/>
    <w:basedOn w:val="37"/>
    <w:link w:val="66"/>
    <w:autoRedefine/>
    <w:qFormat/>
    <w:uiPriority w:val="0"/>
    <w:rPr>
      <w:rFonts w:eastAsia="宋体"/>
    </w:rPr>
  </w:style>
  <w:style w:type="paragraph" w:customStyle="1" w:styleId="68">
    <w:name w:val="5小标题"/>
    <w:link w:val="69"/>
    <w:autoRedefine/>
    <w:qFormat/>
    <w:uiPriority w:val="0"/>
    <w:pPr>
      <w:spacing w:line="360" w:lineRule="auto"/>
      <w:ind w:firstLine="200" w:firstLineChars="200"/>
    </w:pPr>
    <w:rPr>
      <w:rFonts w:asciiTheme="minorHAnsi" w:hAnsiTheme="minorHAnsi" w:eastAsiaTheme="minorEastAsia" w:cstheme="minorBidi"/>
      <w:b/>
      <w:kern w:val="2"/>
      <w:sz w:val="21"/>
      <w:szCs w:val="22"/>
      <w:lang w:val="en-US" w:eastAsia="zh-CN" w:bidi="ar-SA"/>
    </w:rPr>
  </w:style>
  <w:style w:type="character" w:customStyle="1" w:styleId="69">
    <w:name w:val="5小标题 Char"/>
    <w:basedOn w:val="37"/>
    <w:link w:val="68"/>
    <w:autoRedefine/>
    <w:qFormat/>
    <w:uiPriority w:val="0"/>
    <w:rPr>
      <w:rFonts w:eastAsia="宋体"/>
      <w:b/>
    </w:rPr>
  </w:style>
  <w:style w:type="character" w:customStyle="1" w:styleId="70">
    <w:name w:val="正文文本 字符1"/>
    <w:basedOn w:val="37"/>
    <w:autoRedefine/>
    <w:semiHidden/>
    <w:qFormat/>
    <w:uiPriority w:val="99"/>
  </w:style>
  <w:style w:type="paragraph" w:customStyle="1" w:styleId="71">
    <w:name w:val="TOC 标题1"/>
    <w:basedOn w:val="3"/>
    <w:next w:val="1"/>
    <w:autoRedefine/>
    <w:unhideWhenUsed/>
    <w:qFormat/>
    <w:uiPriority w:val="39"/>
    <w:pPr>
      <w:spacing w:line="259" w:lineRule="auto"/>
      <w:outlineLvl w:val="9"/>
    </w:pPr>
    <w:rPr>
      <w:b/>
      <w:bCs/>
    </w:rPr>
  </w:style>
  <w:style w:type="character" w:customStyle="1" w:styleId="72">
    <w:name w:val="未处理的提及1"/>
    <w:basedOn w:val="37"/>
    <w:autoRedefine/>
    <w:semiHidden/>
    <w:unhideWhenUsed/>
    <w:qFormat/>
    <w:uiPriority w:val="99"/>
    <w:rPr>
      <w:color w:val="605E5C"/>
      <w:shd w:val="clear" w:color="auto" w:fill="E1DFDD"/>
    </w:rPr>
  </w:style>
  <w:style w:type="paragraph" w:customStyle="1" w:styleId="73">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7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5">
    <w:name w:val="TOC 标题2"/>
    <w:basedOn w:val="3"/>
    <w:next w:val="1"/>
    <w:autoRedefine/>
    <w:unhideWhenUsed/>
    <w:qFormat/>
    <w:uiPriority w:val="39"/>
    <w:pPr>
      <w:spacing w:line="259" w:lineRule="auto"/>
      <w:outlineLvl w:val="9"/>
    </w:pPr>
    <w:rPr>
      <w:b/>
      <w:bCs/>
    </w:rPr>
  </w:style>
  <w:style w:type="character" w:customStyle="1" w:styleId="76">
    <w:name w:val="未处理的提及2"/>
    <w:basedOn w:val="37"/>
    <w:autoRedefine/>
    <w:semiHidden/>
    <w:unhideWhenUsed/>
    <w:qFormat/>
    <w:uiPriority w:val="99"/>
    <w:rPr>
      <w:color w:val="605E5C"/>
      <w:shd w:val="clear" w:color="auto" w:fill="E1DFDD"/>
    </w:rPr>
  </w:style>
  <w:style w:type="paragraph" w:customStyle="1" w:styleId="77">
    <w:name w:val="样式正文首行缩进2.5"/>
    <w:basedOn w:val="34"/>
    <w:autoRedefine/>
    <w:qFormat/>
    <w:uiPriority w:val="0"/>
    <w:pPr>
      <w:ind w:left="50" w:leftChars="50" w:firstLine="200"/>
    </w:pPr>
    <w:rPr>
      <w:sz w:val="24"/>
    </w:rPr>
  </w:style>
  <w:style w:type="character" w:customStyle="1" w:styleId="78">
    <w:name w:val="f141"/>
    <w:autoRedefine/>
    <w:qFormat/>
    <w:uiPriority w:val="0"/>
    <w:rPr>
      <w:sz w:val="24"/>
      <w:szCs w:val="24"/>
    </w:rPr>
  </w:style>
  <w:style w:type="paragraph" w:customStyle="1" w:styleId="79">
    <w:name w:val="样式 infoblue + 小五 左侧:  0 厘米 段后: 0 磅 行距: 单倍行距"/>
    <w:basedOn w:val="1"/>
    <w:autoRedefine/>
    <w:qFormat/>
    <w:uiPriority w:val="0"/>
    <w:rPr>
      <w:rFonts w:ascii="Times New Roman" w:hAnsi="Times New Roman" w:eastAsia="宋体" w:cs="宋体"/>
      <w:iCs/>
      <w:color w:val="0000FF"/>
      <w:sz w:val="18"/>
      <w:szCs w:val="18"/>
    </w:rPr>
  </w:style>
  <w:style w:type="paragraph" w:customStyle="1" w:styleId="80">
    <w:name w:val="Level3"/>
    <w:basedOn w:val="5"/>
    <w:next w:val="26"/>
    <w:link w:val="81"/>
    <w:autoRedefine/>
    <w:qFormat/>
    <w:uiPriority w:val="0"/>
    <w:pPr>
      <w:numPr>
        <w:ilvl w:val="1"/>
        <w:numId w:val="1"/>
      </w:numPr>
      <w:spacing w:before="240"/>
      <w:ind w:left="850" w:hanging="425"/>
    </w:pPr>
    <w:rPr>
      <w:rFonts w:ascii="仿宋_GB2312" w:hAnsi="Times New Roman" w:eastAsia="仿宋_GB2312" w:cs="Times New Roman"/>
      <w:iCs/>
    </w:rPr>
  </w:style>
  <w:style w:type="character" w:customStyle="1" w:styleId="81">
    <w:name w:val="Level3 Char"/>
    <w:link w:val="80"/>
    <w:autoRedefine/>
    <w:qFormat/>
    <w:uiPriority w:val="0"/>
    <w:rPr>
      <w:rFonts w:ascii="仿宋_GB2312" w:eastAsia="仿宋_GB2312"/>
      <w:b/>
      <w:bCs/>
      <w:iCs/>
      <w:kern w:val="2"/>
      <w:sz w:val="24"/>
      <w:szCs w:val="24"/>
    </w:rPr>
  </w:style>
  <w:style w:type="paragraph" w:customStyle="1" w:styleId="82">
    <w:name w:val="Level3-1"/>
    <w:basedOn w:val="5"/>
    <w:link w:val="83"/>
    <w:autoRedefine/>
    <w:qFormat/>
    <w:uiPriority w:val="0"/>
    <w:pPr>
      <w:numPr>
        <w:ilvl w:val="2"/>
        <w:numId w:val="2"/>
      </w:numPr>
      <w:spacing w:before="240" w:after="120"/>
    </w:pPr>
    <w:rPr>
      <w:rFonts w:ascii="Times New Roman" w:hAnsi="Times New Roman" w:eastAsia="宋体" w:cs="Times New Roman"/>
      <w:sz w:val="21"/>
    </w:rPr>
  </w:style>
  <w:style w:type="character" w:customStyle="1" w:styleId="83">
    <w:name w:val="Level3-1 Char"/>
    <w:link w:val="82"/>
    <w:autoRedefine/>
    <w:qFormat/>
    <w:uiPriority w:val="0"/>
    <w:rPr>
      <w:b/>
      <w:bCs/>
      <w:kern w:val="2"/>
      <w:sz w:val="21"/>
      <w:szCs w:val="24"/>
    </w:rPr>
  </w:style>
  <w:style w:type="paragraph" w:customStyle="1" w:styleId="84">
    <w:name w:val="Text1_noSNO"/>
    <w:basedOn w:val="1"/>
    <w:link w:val="85"/>
    <w:autoRedefine/>
    <w:qFormat/>
    <w:uiPriority w:val="0"/>
    <w:pPr>
      <w:spacing w:line="360" w:lineRule="exact"/>
      <w:ind w:firstLine="420"/>
    </w:pPr>
    <w:rPr>
      <w:rFonts w:ascii="仿宋_GB2312" w:hAnsi="Times New Roman" w:eastAsia="仿宋_GB2312" w:cs="Times New Roman"/>
      <w:szCs w:val="24"/>
    </w:rPr>
  </w:style>
  <w:style w:type="character" w:customStyle="1" w:styleId="85">
    <w:name w:val="Text1_noSNO Char"/>
    <w:link w:val="84"/>
    <w:autoRedefine/>
    <w:qFormat/>
    <w:uiPriority w:val="0"/>
    <w:rPr>
      <w:rFonts w:ascii="仿宋_GB2312" w:eastAsia="仿宋_GB2312"/>
      <w:kern w:val="2"/>
      <w:sz w:val="21"/>
      <w:szCs w:val="24"/>
    </w:rPr>
  </w:style>
  <w:style w:type="paragraph" w:customStyle="1" w:styleId="86">
    <w:name w:val="_Style 24"/>
    <w:basedOn w:val="1"/>
    <w:autoRedefine/>
    <w:qFormat/>
    <w:uiPriority w:val="0"/>
    <w:pPr>
      <w:ind w:firstLine="420" w:firstLineChars="200"/>
    </w:pPr>
    <w:rPr>
      <w:rFonts w:ascii="Times New Roman" w:hAnsi="Times New Roman" w:eastAsia="宋体" w:cs="Times New Roman"/>
      <w:szCs w:val="24"/>
    </w:rPr>
  </w:style>
  <w:style w:type="paragraph" w:styleId="87">
    <w:name w:val="No Spacing"/>
    <w:autoRedefine/>
    <w:qFormat/>
    <w:uiPriority w:val="1"/>
    <w:rPr>
      <w:rFonts w:asciiTheme="minorHAnsi" w:hAnsiTheme="minorHAnsi" w:eastAsiaTheme="minorEastAsia" w:cstheme="minorBidi"/>
      <w:sz w:val="22"/>
      <w:szCs w:val="22"/>
      <w:lang w:val="en-US" w:eastAsia="zh-CN" w:bidi="ar-SA"/>
    </w:rPr>
  </w:style>
  <w:style w:type="character" w:customStyle="1" w:styleId="88">
    <w:name w:val="cf01"/>
    <w:basedOn w:val="37"/>
    <w:autoRedefine/>
    <w:qFormat/>
    <w:uiPriority w:val="0"/>
    <w:rPr>
      <w:rFonts w:hint="eastAsia" w:ascii="Microsoft YaHei UI" w:hAnsi="Microsoft YaHei UI" w:eastAsia="Microsoft YaHei UI"/>
      <w:sz w:val="18"/>
      <w:szCs w:val="18"/>
    </w:rPr>
  </w:style>
  <w:style w:type="paragraph" w:customStyle="1" w:styleId="89">
    <w:name w:val="TOC 标题3"/>
    <w:basedOn w:val="3"/>
    <w:next w:val="1"/>
    <w:autoRedefine/>
    <w:unhideWhenUsed/>
    <w:qFormat/>
    <w:uiPriority w:val="39"/>
    <w:pPr>
      <w:spacing w:line="259" w:lineRule="auto"/>
      <w:outlineLvl w:val="9"/>
    </w:pPr>
    <w:rPr>
      <w:b/>
      <w:bCs/>
    </w:rPr>
  </w:style>
  <w:style w:type="character" w:customStyle="1" w:styleId="90">
    <w:name w:val="未处理的提及3"/>
    <w:basedOn w:val="37"/>
    <w:autoRedefine/>
    <w:semiHidden/>
    <w:unhideWhenUsed/>
    <w:qFormat/>
    <w:uiPriority w:val="99"/>
    <w:rPr>
      <w:color w:val="605E5C"/>
      <w:shd w:val="clear" w:color="auto" w:fill="E1DFDD"/>
    </w:rPr>
  </w:style>
  <w:style w:type="character" w:customStyle="1" w:styleId="91">
    <w:name w:val="未处理的提及4"/>
    <w:basedOn w:val="37"/>
    <w:autoRedefine/>
    <w:semiHidden/>
    <w:unhideWhenUsed/>
    <w:qFormat/>
    <w:uiPriority w:val="99"/>
    <w:rPr>
      <w:color w:val="605E5C"/>
      <w:shd w:val="clear" w:color="auto" w:fill="E1DFDD"/>
    </w:rPr>
  </w:style>
  <w:style w:type="character" w:customStyle="1" w:styleId="92">
    <w:name w:val="标题 字符"/>
    <w:basedOn w:val="37"/>
    <w:link w:val="32"/>
    <w:autoRedefine/>
    <w:qFormat/>
    <w:uiPriority w:val="10"/>
    <w:rPr>
      <w:rFonts w:asciiTheme="majorHAnsi" w:hAnsiTheme="majorHAnsi" w:eastAsiaTheme="majorEastAsia" w:cstheme="majorBidi"/>
      <w:spacing w:val="-10"/>
      <w:sz w:val="56"/>
      <w:szCs w:val="56"/>
    </w:rPr>
  </w:style>
  <w:style w:type="character" w:customStyle="1" w:styleId="93">
    <w:name w:val="副标题 字符"/>
    <w:basedOn w:val="37"/>
    <w:link w:val="27"/>
    <w:autoRedefine/>
    <w:qFormat/>
    <w:uiPriority w:val="11"/>
    <w:rPr>
      <w:color w:val="595959" w:themeColor="text1" w:themeTint="A6"/>
      <w:spacing w:val="15"/>
      <w14:textFill>
        <w14:solidFill>
          <w14:schemeClr w14:val="tx1">
            <w14:lumMod w14:val="65000"/>
            <w14:lumOff w14:val="35000"/>
          </w14:schemeClr>
        </w14:solidFill>
      </w14:textFill>
    </w:rPr>
  </w:style>
  <w:style w:type="paragraph" w:styleId="94">
    <w:name w:val="Quote"/>
    <w:basedOn w:val="1"/>
    <w:next w:val="1"/>
    <w:link w:val="95"/>
    <w:autoRedefine/>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95">
    <w:name w:val="引用 字符"/>
    <w:basedOn w:val="37"/>
    <w:link w:val="94"/>
    <w:autoRedefine/>
    <w:qFormat/>
    <w:uiPriority w:val="29"/>
    <w:rPr>
      <w:i/>
      <w:iCs/>
      <w:color w:val="404040" w:themeColor="text1" w:themeTint="BF"/>
      <w14:textFill>
        <w14:solidFill>
          <w14:schemeClr w14:val="tx1">
            <w14:lumMod w14:val="75000"/>
            <w14:lumOff w14:val="25000"/>
          </w14:schemeClr>
        </w14:solidFill>
      </w14:textFill>
    </w:rPr>
  </w:style>
  <w:style w:type="paragraph" w:styleId="96">
    <w:name w:val="Intense Quote"/>
    <w:basedOn w:val="1"/>
    <w:next w:val="1"/>
    <w:link w:val="97"/>
    <w:autoRedefine/>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97">
    <w:name w:val="明显引用 字符"/>
    <w:basedOn w:val="37"/>
    <w:link w:val="96"/>
    <w:autoRedefine/>
    <w:qFormat/>
    <w:uiPriority w:val="30"/>
    <w:rPr>
      <w:i/>
      <w:iCs/>
      <w:color w:val="4472C4" w:themeColor="accent1"/>
      <w14:textFill>
        <w14:solidFill>
          <w14:schemeClr w14:val="accent1"/>
        </w14:solidFill>
      </w14:textFill>
    </w:rPr>
  </w:style>
  <w:style w:type="character" w:customStyle="1" w:styleId="98">
    <w:name w:val="不明显强调1"/>
    <w:basedOn w:val="37"/>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99">
    <w:name w:val="明显强调1"/>
    <w:basedOn w:val="37"/>
    <w:autoRedefine/>
    <w:qFormat/>
    <w:uiPriority w:val="21"/>
    <w:rPr>
      <w:i/>
      <w:iCs/>
      <w:color w:val="4472C4" w:themeColor="accent1"/>
      <w14:textFill>
        <w14:solidFill>
          <w14:schemeClr w14:val="accent1"/>
        </w14:solidFill>
      </w14:textFill>
    </w:rPr>
  </w:style>
  <w:style w:type="character" w:customStyle="1" w:styleId="100">
    <w:name w:val="不明显参考1"/>
    <w:basedOn w:val="37"/>
    <w:autoRedefine/>
    <w:qFormat/>
    <w:uiPriority w:val="31"/>
    <w:rPr>
      <w:smallCaps/>
      <w:color w:val="404040" w:themeColor="text1" w:themeTint="BF"/>
      <w14:textFill>
        <w14:solidFill>
          <w14:schemeClr w14:val="tx1">
            <w14:lumMod w14:val="75000"/>
            <w14:lumOff w14:val="25000"/>
          </w14:schemeClr>
        </w14:solidFill>
      </w14:textFill>
    </w:rPr>
  </w:style>
  <w:style w:type="character" w:customStyle="1" w:styleId="101">
    <w:name w:val="明显参考1"/>
    <w:basedOn w:val="37"/>
    <w:autoRedefine/>
    <w:qFormat/>
    <w:uiPriority w:val="32"/>
    <w:rPr>
      <w:b/>
      <w:bCs/>
      <w:smallCaps/>
      <w:color w:val="4472C4" w:themeColor="accent1"/>
      <w:spacing w:val="5"/>
      <w14:textFill>
        <w14:solidFill>
          <w14:schemeClr w14:val="accent1"/>
        </w14:solidFill>
      </w14:textFill>
    </w:rPr>
  </w:style>
  <w:style w:type="character" w:customStyle="1" w:styleId="102">
    <w:name w:val="书籍标题1"/>
    <w:basedOn w:val="37"/>
    <w:autoRedefine/>
    <w:qFormat/>
    <w:uiPriority w:val="33"/>
    <w:rPr>
      <w:b/>
      <w:bCs/>
      <w:i/>
      <w:iCs/>
      <w:spacing w:val="5"/>
    </w:rPr>
  </w:style>
  <w:style w:type="paragraph" w:customStyle="1" w:styleId="103">
    <w:name w:val="TOC 标题4"/>
    <w:basedOn w:val="3"/>
    <w:next w:val="1"/>
    <w:autoRedefine/>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Cambria">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159</Words>
  <Characters>188</Characters>
  <Lines>220</Lines>
  <Paragraphs>62</Paragraphs>
  <TotalTime>64</TotalTime>
  <ScaleCrop>false</ScaleCrop>
  <LinksUpToDate>false</LinksUpToDate>
  <CharactersWithSpaces>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杨超</cp:lastModifiedBy>
  <cp:lastPrinted>2023-09-08T08:34:00Z</cp:lastPrinted>
  <dcterms:modified xsi:type="dcterms:W3CDTF">2025-12-30T08:56:26Z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C2308C444AC740A5A09F4DE23246C6CE_13</vt:lpwstr>
  </property>
  <property fmtid="{D5CDD505-2E9C-101B-9397-08002B2CF9AE}" pid="4" name="KSOTemplateDocerSaveRecord">
    <vt:lpwstr>eyJoZGlkIjoiNWI3Y2M4MmQ0YmRkMTBlYTA2ODRlOTY5Mzc5MzE0MWEiLCJ1c2VySWQiOiI0MDIyNDQ3MzAifQ==</vt:lpwstr>
  </property>
</Properties>
</file>